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0"/>
      </w:pPr>
      <w:r>
        <w:rPr>
          <w:rFonts w:ascii="IBM Plex Sans Condensed" w:cs="IBM Plex Sans Condensed" w:eastAsia="IBM Plex Sans Condensed" w:hAnsi="IBM Plex Sans Condensed"/>
          <w:b/>
          <w:bCs/>
          <w:color w:val="0C1220"/>
          <w:sz w:val="40"/>
          <w:szCs w:val="40"/>
        </w:rPr>
        <w:t xml:space="preserve">Robert M. Clark</w:t>
      </w:r>
    </w:p>
    <w:p>
      <w:pPr>
        <w:spacing w:after="60"/>
      </w:pPr>
      <w:r>
        <w:rPr>
          <w:rFonts w:ascii="IBM Plex Sans Condensed" w:cs="IBM Plex Sans Condensed" w:eastAsia="IBM Plex Sans Condensed" w:hAnsi="IBM Plex Sans Condensed"/>
          <w:color w:val="C9A84C"/>
          <w:sz w:val="20"/>
          <w:szCs w:val="20"/>
        </w:rPr>
        <w:t xml:space="preserve">Supply Chain Systems Architect  ·  Enterprise Analytics  ·  AI-Augmented Operations  ·  Published Researcher</w:t>
      </w:r>
    </w:p>
    <w:p>
      <w:pPr>
        <w:spacing w:after="40"/>
      </w:pPr>
      <w:r>
        <w:rPr>
          <w:rFonts w:ascii="IBM Plex Mono" w:cs="IBM Plex Mono" w:eastAsia="IBM Plex Mono" w:hAnsi="IBM Plex Mono"/>
          <w:color w:val="636D7F"/>
          <w:sz w:val="17"/>
          <w:szCs w:val="17"/>
        </w:rPr>
        <w:t xml:space="preserve">Warrnambool, VIC  |  0447 515 074  |  robert@robertmclark.dev</w:t>
      </w:r>
    </w:p>
    <w:p>
      <w:pPr>
        <w:spacing w:after="20"/>
      </w:pPr>
      <w:r>
        <w:rPr>
          <w:rFonts w:ascii="IBM Plex Mono" w:cs="IBM Plex Mono" w:eastAsia="IBM Plex Mono" w:hAnsi="IBM Plex Mono"/>
          <w:b/>
          <w:bCs/>
          <w:color w:val="5B9E7A"/>
          <w:sz w:val="16"/>
          <w:szCs w:val="16"/>
        </w:rPr>
        <w:t xml:space="preserve">AVAILABLE</w:t>
      </w:r>
      <w:r>
        <w:rPr>
          <w:rFonts w:ascii="IBM Plex Mono" w:cs="IBM Plex Mono" w:eastAsia="IBM Plex Mono" w:hAnsi="IBM Plex Mono"/>
          <w:color w:val="636D7F"/>
          <w:sz w:val="16"/>
          <w:szCs w:val="16"/>
        </w:rPr>
        <w:t xml:space="preserve">    REMOTE / GLOBAL  ·  AEST</w:t>
      </w:r>
    </w:p>
    <w:p>
      <w:pPr>
        <w:pBdr>
          <w:bottom w:val="single" w:color="C9A84C" w:sz="4" w:space="1"/>
        </w:pBdr>
        <w:spacing w:before="80"/>
      </w:pPr>
      <w:r>
        <w:rPr>
          <w:sz w:val="4"/>
          <w:szCs w:val="4"/>
        </w:rPr>
        <w:t xml:space="preserve"/>
      </w:r>
    </w:p>
    <w:p>
      <w:pPr>
        <w:pStyle w:val="Heading1"/>
        <w:spacing w:after="120" w:before="360"/>
      </w:pPr>
      <w:r>
        <w:rPr>
          <w:rFonts w:ascii="IBM Plex Sans Condensed" w:cs="IBM Plex Sans Condensed" w:eastAsia="IBM Plex Sans Condensed" w:hAnsi="IBM Plex Sans Condensed"/>
          <w:b/>
          <w:bCs/>
          <w:color w:val="0C1220"/>
          <w:sz w:val="28"/>
          <w:szCs w:val="28"/>
        </w:rPr>
        <w:t xml:space="preserve">Profile</w:t>
      </w:r>
    </w:p>
    <w:p>
      <w:pPr>
        <w:spacing w:after="100" w:before="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I build the planning systems that organisations can’t buy and don’t know how to commission. For 27 years, every business I’ve entered has become tool-centric — because the tools didn’t exist, so I built them. From pharmaceutical replenishment at Sigma to a centralised engine harvesting six ERPs at Pacific Brands to a full-stack analytics platform at Saputo, the pattern is constant: I arrive, I understand the problem, I build the solution, and the business runs on it.</w:t>
      </w:r>
    </w:p>
    <w:p>
      <w:pPr>
        <w:spacing w:after="120" w:before="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The two largest builds — Pacific Brands (group-level, 6 ERPs, CEO governance) and Saputo’s DOT system (7-layer architecture, 231 Power BI visuals) — are the peaks, but every role in between produced planning tools, process frameworks, and reporting systems that became each company’s operating backbone. Self-taught in VBA, Power Query, Power BI, Python, and AI-augmented development. Published researcher. Working remotely since 2019.</w:t>
      </w:r>
    </w:p>
    <w:p>
      <w:pPr>
        <w:spacing w:after="120" w:before="0"/>
      </w:pPr>
      <w:r>
        <w:rPr>
          <w:rFonts w:ascii="IBM Plex Sans" w:cs="IBM Plex Sans" w:eastAsia="IBM Plex Sans" w:hAnsi="IBM Plex Sans"/>
          <w:color w:val="636D7F"/>
          <w:sz w:val="20"/>
          <w:szCs w:val="20"/>
        </w:rPr>
        <w:t xml:space="preserve">Years Building: </w:t>
      </w:r>
      <w:r>
        <w:rPr>
          <w:rFonts w:ascii="IBM Plex Mono" w:cs="IBM Plex Mono" w:eastAsia="IBM Plex Mono" w:hAnsi="IBM Plex Mono"/>
          <w:b/>
          <w:bCs/>
          <w:color w:val="0C1220"/>
          <w:sz w:val="20"/>
          <w:szCs w:val="20"/>
        </w:rPr>
        <w:t xml:space="preserve">27</w:t>
      </w:r>
      <w:r>
        <w:rPr>
          <w:rFonts w:ascii="IBM Plex Sans" w:cs="IBM Plex Sans" w:eastAsia="IBM Plex Sans" w:hAnsi="IBM Plex Sans"/>
          <w:sz w:val="20"/>
          <w:szCs w:val="20"/>
        </w:rPr>
        <w:t xml:space="preserve">    </w:t>
      </w:r>
      <w:r>
        <w:rPr>
          <w:rFonts w:ascii="IBM Plex Sans" w:cs="IBM Plex Sans" w:eastAsia="IBM Plex Sans" w:hAnsi="IBM Plex Sans"/>
          <w:color w:val="636D7F"/>
          <w:sz w:val="20"/>
          <w:szCs w:val="20"/>
        </w:rPr>
        <w:t xml:space="preserve">ERPs Unified: </w:t>
      </w:r>
      <w:r>
        <w:rPr>
          <w:rFonts w:ascii="IBM Plex Mono" w:cs="IBM Plex Mono" w:eastAsia="IBM Plex Mono" w:hAnsi="IBM Plex Mono"/>
          <w:b/>
          <w:bCs/>
          <w:color w:val="0C1220"/>
          <w:sz w:val="20"/>
          <w:szCs w:val="20"/>
        </w:rPr>
        <w:t xml:space="preserve">6</w:t>
      </w:r>
      <w:r>
        <w:rPr>
          <w:rFonts w:ascii="IBM Plex Sans" w:cs="IBM Plex Sans" w:eastAsia="IBM Plex Sans" w:hAnsi="IBM Plex Sans"/>
          <w:sz w:val="20"/>
          <w:szCs w:val="20"/>
        </w:rPr>
        <w:t xml:space="preserve">    </w:t>
      </w:r>
      <w:r>
        <w:rPr>
          <w:rFonts w:ascii="IBM Plex Sans" w:cs="IBM Plex Sans" w:eastAsia="IBM Plex Sans" w:hAnsi="IBM Plex Sans"/>
          <w:color w:val="636D7F"/>
          <w:sz w:val="20"/>
          <w:szCs w:val="20"/>
        </w:rPr>
        <w:t xml:space="preserve">Materials Tracked: </w:t>
      </w:r>
      <w:r>
        <w:rPr>
          <w:rFonts w:ascii="IBM Plex Mono" w:cs="IBM Plex Mono" w:eastAsia="IBM Plex Mono" w:hAnsi="IBM Plex Mono"/>
          <w:b/>
          <w:bCs/>
          <w:color w:val="0C1220"/>
          <w:sz w:val="20"/>
          <w:szCs w:val="20"/>
        </w:rPr>
        <w:t xml:space="preserve">970+</w:t>
      </w:r>
      <w:r>
        <w:rPr>
          <w:rFonts w:ascii="IBM Plex Sans" w:cs="IBM Plex Sans" w:eastAsia="IBM Plex Sans" w:hAnsi="IBM Plex Sans"/>
          <w:sz w:val="20"/>
          <w:szCs w:val="20"/>
        </w:rPr>
        <w:t xml:space="preserve">    </w:t>
      </w:r>
      <w:r>
        <w:rPr>
          <w:rFonts w:ascii="IBM Plex Sans" w:cs="IBM Plex Sans" w:eastAsia="IBM Plex Sans" w:hAnsi="IBM Plex Sans"/>
          <w:color w:val="636D7F"/>
          <w:sz w:val="20"/>
          <w:szCs w:val="20"/>
        </w:rPr>
        <w:t xml:space="preserve">PBI Visuals: </w:t>
      </w:r>
      <w:r>
        <w:rPr>
          <w:rFonts w:ascii="IBM Plex Mono" w:cs="IBM Plex Mono" w:eastAsia="IBM Plex Mono" w:hAnsi="IBM Plex Mono"/>
          <w:b/>
          <w:bCs/>
          <w:color w:val="0C1220"/>
          <w:sz w:val="20"/>
          <w:szCs w:val="20"/>
        </w:rPr>
        <w:t xml:space="preserve">231</w:t>
      </w:r>
      <w:r>
        <w:rPr>
          <w:rFonts w:ascii="IBM Plex Sans" w:cs="IBM Plex Sans" w:eastAsia="IBM Plex Sans" w:hAnsi="IBM Plex Sans"/>
          <w:sz w:val="20"/>
          <w:szCs w:val="20"/>
        </w:rPr>
        <w:t xml:space="preserve">    </w:t>
      </w:r>
      <w:r>
        <w:rPr>
          <w:rFonts w:ascii="IBM Plex Sans" w:cs="IBM Plex Sans" w:eastAsia="IBM Plex Sans" w:hAnsi="IBM Plex Sans"/>
          <w:color w:val="636D7F"/>
          <w:sz w:val="20"/>
          <w:szCs w:val="20"/>
        </w:rPr>
        <w:t xml:space="preserve">Stock Reduction: </w:t>
      </w:r>
      <w:r>
        <w:rPr>
          <w:rFonts w:ascii="IBM Plex Mono" w:cs="IBM Plex Mono" w:eastAsia="IBM Plex Mono" w:hAnsi="IBM Plex Mono"/>
          <w:b/>
          <w:bCs/>
          <w:color w:val="0C1220"/>
          <w:sz w:val="20"/>
          <w:szCs w:val="20"/>
        </w:rPr>
        <w:t xml:space="preserve">$15M</w:t>
      </w:r>
      <w:r>
        <w:rPr>
          <w:rFonts w:ascii="IBM Plex Sans" w:cs="IBM Plex Sans" w:eastAsia="IBM Plex Sans" w:hAnsi="IBM Plex Sans"/>
          <w:sz w:val="20"/>
          <w:szCs w:val="20"/>
        </w:rPr>
        <w:t xml:space="preserve">    </w:t>
      </w:r>
      <w:r>
        <w:rPr>
          <w:rFonts w:ascii="IBM Plex Sans" w:cs="IBM Plex Sans" w:eastAsia="IBM Plex Sans" w:hAnsi="IBM Plex Sans"/>
          <w:color w:val="636D7F"/>
          <w:sz w:val="20"/>
          <w:szCs w:val="20"/>
        </w:rPr>
        <w:t xml:space="preserve">Papers Published: </w:t>
      </w:r>
      <w:r>
        <w:rPr>
          <w:rFonts w:ascii="IBM Plex Mono" w:cs="IBM Plex Mono" w:eastAsia="IBM Plex Mono" w:hAnsi="IBM Plex Mono"/>
          <w:b/>
          <w:bCs/>
          <w:color w:val="0C1220"/>
          <w:sz w:val="20"/>
          <w:szCs w:val="20"/>
        </w:rPr>
        <w:t xml:space="preserve">5</w:t>
      </w:r>
    </w:p>
    <w:p>
      <w:pPr>
        <w:pBdr>
          <w:bottom w:val="single" w:color="C9A84C" w:sz="4" w:space="1"/>
        </w:pBdr>
        <w:spacing w:before="80"/>
      </w:pPr>
      <w:r>
        <w:rPr>
          <w:sz w:val="4"/>
          <w:szCs w:val="4"/>
        </w:rPr>
        <w:t xml:space="preserve"/>
      </w:r>
    </w:p>
    <w:p>
      <w:pPr>
        <w:pStyle w:val="Heading1"/>
        <w:spacing w:after="120" w:before="360"/>
      </w:pPr>
      <w:r>
        <w:rPr>
          <w:rFonts w:ascii="IBM Plex Sans Condensed" w:cs="IBM Plex Sans Condensed" w:eastAsia="IBM Plex Sans Condensed" w:hAnsi="IBM Plex Sans Condensed"/>
          <w:b/>
          <w:bCs/>
          <w:color w:val="0C1220"/>
          <w:sz w:val="28"/>
          <w:szCs w:val="28"/>
        </w:rPr>
        <w:t xml:space="preserve">Signature Builds</w:t>
      </w:r>
    </w:p>
    <w:p>
      <w:pPr>
        <w:spacing w:after="40" w:before="160"/>
      </w:pPr>
      <w:r>
        <w:rPr>
          <w:rFonts w:ascii="IBM Plex Mono" w:cs="IBM Plex Mono" w:eastAsia="IBM Plex Mono" w:hAnsi="IBM Plex Mono"/>
          <w:b/>
          <w:bCs/>
          <w:color w:val="C9A84C"/>
          <w:sz w:val="18"/>
          <w:szCs w:val="18"/>
        </w:rPr>
        <w:t xml:space="preserve">ACT ONE  ·  2011–2013</w:t>
      </w:r>
    </w:p>
    <w:p>
      <w:pPr>
        <w:spacing w:after="40"/>
      </w:pPr>
      <w:r>
        <w:rPr>
          <w:rFonts w:ascii="IBM Plex Sans Condensed" w:cs="IBM Plex Sans Condensed" w:eastAsia="IBM Plex Sans Condensed" w:hAnsi="IBM Plex Sans Condensed"/>
          <w:b/>
          <w:bCs/>
          <w:color w:val="0C1220"/>
          <w:sz w:val="24"/>
          <w:szCs w:val="24"/>
        </w:rPr>
        <w:t xml:space="preserve">The Pacific Brands Planning Engine</w:t>
      </w:r>
    </w:p>
    <w:p>
      <w:pPr>
        <w:spacing w:after="80" w:before="0"/>
      </w:pPr>
      <w:r>
        <w:rPr>
          <w:rFonts w:ascii="IBM Plex Sans" w:cs="IBM Plex Sans" w:eastAsia="IBM Plex Sans" w:hAnsi="IBM Plex Sans"/>
          <w:color w:val="636D7F"/>
          <w:sz w:val="20"/>
          <w:szCs w:val="20"/>
        </w:rPr>
        <w:t xml:space="preserve">Group-level role — 3 tiers above individual contributor. National team across VIC, NSW. Extended to New Zealand.</w:t>
      </w:r>
    </w:p>
    <w:p>
      <w:pPr>
        <w:spacing w:after="80" w:before="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A centralised VBA-driven planning engine that harvested data from six separate enterprise platforms, translated it into a unified demand-to-supply-to-order flow, and produced branded dashboards per division. Generated S&amp;OP decks for CEOs of each division with mandatory physical sign-off governance. Built with Excel, one laptop, and one exceptional 2IC.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6 ERPs harvested via VBA into single engine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7 brands — Hard Yakka, King Gee, NNT, Stubbies, Dowd, Table 8, Can’t Tear’Em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Auto-generated supplier orders with optimised order patterns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Branded dashboards per division, custom themed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S&amp;OP decks for directors and CEOs, monthly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Mandatory sign-off governance before any spend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Multi-site team — Broadmeadows, Keysborough, Kingsgrove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NZ expansion — integrated Yakka NZ into the ecosystem</w:t>
      </w:r>
    </w:p>
    <w:p>
      <w:pPr>
        <w:spacing w:after="40" w:before="200"/>
      </w:pPr>
      <w:r>
        <w:rPr>
          <w:rFonts w:ascii="IBM Plex Mono" w:cs="IBM Plex Mono" w:eastAsia="IBM Plex Mono" w:hAnsi="IBM Plex Mono"/>
          <w:b/>
          <w:bCs/>
          <w:color w:val="5B9E7A"/>
          <w:sz w:val="18"/>
          <w:szCs w:val="18"/>
        </w:rPr>
        <w:t xml:space="preserve">ACT TWO  ·  2016–2025</w:t>
      </w:r>
    </w:p>
    <w:p>
      <w:pPr>
        <w:spacing w:after="40"/>
      </w:pPr>
      <w:r>
        <w:rPr>
          <w:rFonts w:ascii="IBM Plex Sans Condensed" w:cs="IBM Plex Sans Condensed" w:eastAsia="IBM Plex Sans Condensed" w:hAnsi="IBM Plex Sans Condensed"/>
          <w:b/>
          <w:bCs/>
          <w:color w:val="0C1220"/>
          <w:sz w:val="24"/>
          <w:szCs w:val="24"/>
        </w:rPr>
        <w:t xml:space="preserve">The DOT System — Saputo Dairy Australia</w:t>
      </w:r>
    </w:p>
    <w:p>
      <w:pPr>
        <w:spacing w:after="80" w:before="0"/>
      </w:pPr>
      <w:r>
        <w:rPr>
          <w:rFonts w:ascii="IBM Plex Sans" w:cs="IBM Plex Sans" w:eastAsia="IBM Plex Sans" w:hAnsi="IBM Plex Sans"/>
          <w:color w:val="636D7F"/>
          <w:sz w:val="20"/>
          <w:szCs w:val="20"/>
        </w:rPr>
        <w:t xml:space="preserve">Built solo using AI-augmented development. Production-deployed. Dual local + SharePoint/Power BI Service.</w:t>
      </w:r>
    </w:p>
    <w:p>
      <w:pPr>
        <w:spacing w:after="80" w:before="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A full-stack Delivery On Time analytics platform: 7-layer data architecture, Power Query ETL, VBA-driven programmatic builds, Power BI dashboard, and dual deployment pipeline. What a team of 3–5 BI developers would typically deliver — designed and shipped by one person with AI.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7-layer architecture — Params → Functions → Staging → Dims → Facts → GOLD → Output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970+ materials tracked across 3,200+ orders, 18,000+ lines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Power BI — 18 pages, 231 visuals, 155 DAX measures, 12 tables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VBA + M-code engine — all Power Query embedded in VBA, rebuilt programmatically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19 dependent sheets flowing through GOLD aggregation chain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Custom 4-4-5 calendar with April–March fiscal year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KIM Pegging Engine — stock allocation with HTML dashboard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Dual deployment — local dev + SharePoint/Power BI Service</w:t>
      </w:r>
    </w:p>
    <w:p>
      <w:pPr>
        <w:pBdr>
          <w:bottom w:val="single" w:color="C9A84C" w:sz="4" w:space="1"/>
        </w:pBdr>
        <w:spacing w:before="80"/>
      </w:pPr>
      <w:r>
        <w:rPr>
          <w:sz w:val="4"/>
          <w:szCs w:val="4"/>
        </w:rPr>
        <w:t xml:space="preserve"/>
      </w:r>
    </w:p>
    <w:p>
      <w:pPr>
        <w:pStyle w:val="Heading1"/>
        <w:spacing w:after="120" w:before="360"/>
      </w:pPr>
      <w:r>
        <w:rPr>
          <w:rFonts w:ascii="IBM Plex Sans Condensed" w:cs="IBM Plex Sans Condensed" w:eastAsia="IBM Plex Sans Condensed" w:hAnsi="IBM Plex Sans Condensed"/>
          <w:b/>
          <w:bCs/>
          <w:color w:val="0C1220"/>
          <w:sz w:val="28"/>
          <w:szCs w:val="28"/>
        </w:rPr>
        <w:t xml:space="preserve">Experience</w:t>
      </w:r>
    </w:p>
    <w:p>
      <w:pPr>
        <w:pBdr>
          <w:bottom w:val="single" w:color="CCC8BE" w:sz="1" w:space="4"/>
        </w:pBdr>
        <w:spacing w:after="40" w:before="240"/>
      </w:pPr>
      <w:r>
        <w:rPr>
          <w:rFonts w:ascii="IBM Plex Sans Condensed" w:cs="IBM Plex Sans Condensed" w:eastAsia="IBM Plex Sans Condensed" w:hAnsi="IBM Plex Sans Condensed"/>
          <w:b/>
          <w:bCs/>
          <w:color w:val="0C1220"/>
          <w:sz w:val="22"/>
          <w:szCs w:val="22"/>
        </w:rPr>
        <w:t xml:space="preserve">Senior Demand &amp; Supply Planner → Systems Builder</w:t>
      </w:r>
      <w:r>
        <w:rPr>
          <w:rFonts w:ascii="IBM Plex Sans" w:cs="IBM Plex Sans" w:eastAsia="IBM Plex Sans" w:hAnsi="IBM Plex Sans"/>
          <w:color w:val="636D7F"/>
          <w:sz w:val="20"/>
          <w:szCs w:val="20"/>
        </w:rPr>
        <w:t xml:space="preserve">  |  </w:t>
      </w:r>
      <w:r>
        <w:rPr>
          <w:rFonts w:ascii="IBM Plex Sans" w:cs="IBM Plex Sans" w:eastAsia="IBM Plex Sans" w:hAnsi="IBM Plex Sans"/>
          <w:b/>
          <w:bCs/>
          <w:color w:val="C9A84C"/>
          <w:sz w:val="20"/>
          <w:szCs w:val="20"/>
        </w:rPr>
        <w:t xml:space="preserve">Saputo Dairy Australia</w:t>
      </w:r>
      <w:r>
        <w:rPr>
          <w:rFonts w:ascii="IBM Plex Mono" w:cs="IBM Plex Mono" w:eastAsia="IBM Plex Mono" w:hAnsi="IBM Plex Mono"/>
          <w:color w:val="636D7F"/>
          <w:sz w:val="18"/>
          <w:szCs w:val="18"/>
        </w:rPr>
        <w:t xml:space="preserve">  |  2016 – 2025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Built the DOT Reporting System and KIM Pegging Engine — see Signature Builds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Retail: cut-and-wrap plants (Allansford, Mil Lel, Cobram) for Coles &amp; Woolworths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Bulk commodities: butter, cream cheese, whey protein, lactoferrin, SMP, specialty cheese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Automated forecast-to-plan flows: master data checks, exception surfacing, SAP upload files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Cross-functional S&amp;OP: Sales, Manufacturing, Logistics, Finance</w:t>
      </w:r>
    </w:p>
    <w:p>
      <w:pPr>
        <w:pBdr>
          <w:bottom w:val="single" w:color="CCC8BE" w:sz="1" w:space="4"/>
        </w:pBdr>
        <w:spacing w:after="40" w:before="240"/>
      </w:pPr>
      <w:r>
        <w:rPr>
          <w:rFonts w:ascii="IBM Plex Sans Condensed" w:cs="IBM Plex Sans Condensed" w:eastAsia="IBM Plex Sans Condensed" w:hAnsi="IBM Plex Sans Condensed"/>
          <w:b/>
          <w:bCs/>
          <w:color w:val="0C1220"/>
          <w:sz w:val="22"/>
          <w:szCs w:val="22"/>
        </w:rPr>
        <w:t xml:space="preserve">Consultant / S&amp;OP Manager / Senior Planner</w:t>
      </w:r>
      <w:r>
        <w:rPr>
          <w:rFonts w:ascii="IBM Plex Sans" w:cs="IBM Plex Sans" w:eastAsia="IBM Plex Sans" w:hAnsi="IBM Plex Sans"/>
          <w:color w:val="636D7F"/>
          <w:sz w:val="20"/>
          <w:szCs w:val="20"/>
        </w:rPr>
        <w:t xml:space="preserve">  |  </w:t>
      </w:r>
      <w:r>
        <w:rPr>
          <w:rFonts w:ascii="IBM Plex Sans" w:cs="IBM Plex Sans" w:eastAsia="IBM Plex Sans" w:hAnsi="IBM Plex Sans"/>
          <w:b/>
          <w:bCs/>
          <w:color w:val="C9A84C"/>
          <w:sz w:val="20"/>
          <w:szCs w:val="20"/>
        </w:rPr>
        <w:t xml:space="preserve">RSEA · PSW · ARB · Petstock</w:t>
      </w:r>
      <w:r>
        <w:rPr>
          <w:rFonts w:ascii="IBM Plex Mono" w:cs="IBM Plex Mono" w:eastAsia="IBM Plex Mono" w:hAnsi="IBM Plex Mono"/>
          <w:color w:val="636D7F"/>
          <w:sz w:val="18"/>
          <w:szCs w:val="18"/>
        </w:rPr>
        <w:t xml:space="preserve">  |  2013 – 2016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RSEA Safety — built forecasting tools and methodology from scratch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PSW Uniforms — S&amp;OP owner, best back-to-school result in 5 years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ARB 4x4 — global traded goods, automated transfer orders, introduced KPIs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Petstock — imported goods planning, 3PL tender, 9 store openings in 3 months</w:t>
      </w:r>
    </w:p>
    <w:p>
      <w:pPr>
        <w:pBdr>
          <w:bottom w:val="single" w:color="CCC8BE" w:sz="1" w:space="4"/>
        </w:pBdr>
        <w:spacing w:after="40" w:before="240"/>
      </w:pPr>
      <w:r>
        <w:rPr>
          <w:rFonts w:ascii="IBM Plex Sans Condensed" w:cs="IBM Plex Sans Condensed" w:eastAsia="IBM Plex Sans Condensed" w:hAnsi="IBM Plex Sans Condensed"/>
          <w:b/>
          <w:bCs/>
          <w:color w:val="0C1220"/>
          <w:sz w:val="22"/>
          <w:szCs w:val="22"/>
        </w:rPr>
        <w:t xml:space="preserve">Group Demand Planning Manager</w:t>
      </w:r>
      <w:r>
        <w:rPr>
          <w:rFonts w:ascii="IBM Plex Sans" w:cs="IBM Plex Sans" w:eastAsia="IBM Plex Sans" w:hAnsi="IBM Plex Sans"/>
          <w:color w:val="636D7F"/>
          <w:sz w:val="20"/>
          <w:szCs w:val="20"/>
        </w:rPr>
        <w:t xml:space="preserve">  |  </w:t>
      </w:r>
      <w:r>
        <w:rPr>
          <w:rFonts w:ascii="IBM Plex Sans" w:cs="IBM Plex Sans" w:eastAsia="IBM Plex Sans" w:hAnsi="IBM Plex Sans"/>
          <w:b/>
          <w:bCs/>
          <w:color w:val="C9A84C"/>
          <w:sz w:val="20"/>
          <w:szCs w:val="20"/>
        </w:rPr>
        <w:t xml:space="preserve">Pacific Brands — Workwear Group</w:t>
      </w:r>
      <w:r>
        <w:rPr>
          <w:rFonts w:ascii="IBM Plex Mono" w:cs="IBM Plex Mono" w:eastAsia="IBM Plex Mono" w:hAnsi="IBM Plex Mono"/>
          <w:color w:val="636D7F"/>
          <w:sz w:val="18"/>
          <w:szCs w:val="18"/>
        </w:rPr>
        <w:t xml:space="preserve">  |  2011 – 2013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Group-level role — 3 tiers above individual contributor. See Signature Builds Act One.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Centralised planning across 7 brands and 3 ERPs</w:t>
      </w:r>
      <w:r>
        <w:rPr>
          <w:rFonts w:ascii="IBM Plex Mono" w:cs="IBM Plex Mono" w:eastAsia="IBM Plex Mono" w:hAnsi="IBM Plex Mono"/>
          <w:b/>
          <w:bCs/>
          <w:color w:val="5B9E7A"/>
          <w:sz w:val="18"/>
          <w:szCs w:val="18"/>
        </w:rPr>
        <w:t xml:space="preserve">  +15-20% accuracy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Led ERP gap analysis and rollout across three divisions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Managed 6 planners nationally (Broadmeadows, Keysborough, Kingsgrove)</w:t>
      </w:r>
      <w:r>
        <w:rPr>
          <w:rFonts w:ascii="IBM Plex Mono" w:cs="IBM Plex Mono" w:eastAsia="IBM Plex Mono" w:hAnsi="IBM Plex Mono"/>
          <w:b/>
          <w:bCs/>
          <w:color w:val="5B9E7A"/>
          <w:sz w:val="18"/>
          <w:szCs w:val="18"/>
        </w:rPr>
        <w:t xml:space="preserve">  -22% slow movers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Extended system to New Zealand — integrated NZ Yakka into the ecosystem</w:t>
      </w:r>
    </w:p>
    <w:p>
      <w:pPr>
        <w:pBdr>
          <w:bottom w:val="single" w:color="CCC8BE" w:sz="1" w:space="4"/>
        </w:pBdr>
        <w:spacing w:after="40" w:before="240"/>
      </w:pPr>
      <w:r>
        <w:rPr>
          <w:rFonts w:ascii="IBM Plex Sans Condensed" w:cs="IBM Plex Sans Condensed" w:eastAsia="IBM Plex Sans Condensed" w:hAnsi="IBM Plex Sans Condensed"/>
          <w:b/>
          <w:bCs/>
          <w:color w:val="0C1220"/>
          <w:sz w:val="22"/>
          <w:szCs w:val="22"/>
        </w:rPr>
        <w:t xml:space="preserve">Demand Planner / Process &amp; Training Manager</w:t>
      </w:r>
      <w:r>
        <w:rPr>
          <w:rFonts w:ascii="IBM Plex Sans" w:cs="IBM Plex Sans" w:eastAsia="IBM Plex Sans" w:hAnsi="IBM Plex Sans"/>
          <w:color w:val="636D7F"/>
          <w:sz w:val="20"/>
          <w:szCs w:val="20"/>
        </w:rPr>
        <w:t xml:space="preserve">  |  </w:t>
      </w:r>
      <w:r>
        <w:rPr>
          <w:rFonts w:ascii="IBM Plex Sans" w:cs="IBM Plex Sans" w:eastAsia="IBM Plex Sans" w:hAnsi="IBM Plex Sans"/>
          <w:b/>
          <w:bCs/>
          <w:color w:val="C9A84C"/>
          <w:sz w:val="20"/>
          <w:szCs w:val="20"/>
        </w:rPr>
        <w:t xml:space="preserve">Pacific Brands — NNT / Dowd</w:t>
      </w:r>
      <w:r>
        <w:rPr>
          <w:rFonts w:ascii="IBM Plex Mono" w:cs="IBM Plex Mono" w:eastAsia="IBM Plex Mono" w:hAnsi="IBM Plex Mono"/>
          <w:color w:val="636D7F"/>
          <w:sz w:val="18"/>
          <w:szCs w:val="18"/>
        </w:rPr>
        <w:t xml:space="preserve">  |  2008 – 2011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Reduced operating stock by 20% in year one</w:t>
      </w:r>
      <w:r>
        <w:rPr>
          <w:rFonts w:ascii="IBM Plex Mono" w:cs="IBM Plex Mono" w:eastAsia="IBM Plex Mono" w:hAnsi="IBM Plex Mono"/>
          <w:b/>
          <w:bCs/>
          <w:color w:val="5B9E7A"/>
          <w:sz w:val="18"/>
          <w:szCs w:val="18"/>
        </w:rPr>
        <w:t xml:space="preserve">  -$15M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Built complete forecasting and materials planning system across NNT/Dowd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Managed planning for 40,000+ SKUs across AU, NZ, and UK</w:t>
      </w:r>
    </w:p>
    <w:p>
      <w:pPr>
        <w:pBdr>
          <w:bottom w:val="single" w:color="CCC8BE" w:sz="1" w:space="4"/>
        </w:pBdr>
        <w:spacing w:after="40" w:before="240"/>
      </w:pPr>
      <w:r>
        <w:rPr>
          <w:rFonts w:ascii="IBM Plex Sans Condensed" w:cs="IBM Plex Sans Condensed" w:eastAsia="IBM Plex Sans Condensed" w:hAnsi="IBM Plex Sans Condensed"/>
          <w:b/>
          <w:bCs/>
          <w:color w:val="0C1220"/>
          <w:sz w:val="22"/>
          <w:szCs w:val="22"/>
        </w:rPr>
        <w:t xml:space="preserve">Demand Planner / OTC Procurement</w:t>
      </w:r>
      <w:r>
        <w:rPr>
          <w:rFonts w:ascii="IBM Plex Sans" w:cs="IBM Plex Sans" w:eastAsia="IBM Plex Sans" w:hAnsi="IBM Plex Sans"/>
          <w:color w:val="636D7F"/>
          <w:sz w:val="20"/>
          <w:szCs w:val="20"/>
        </w:rPr>
        <w:t xml:space="preserve">  |  </w:t>
      </w:r>
      <w:r>
        <w:rPr>
          <w:rFonts w:ascii="IBM Plex Sans" w:cs="IBM Plex Sans" w:eastAsia="IBM Plex Sans" w:hAnsi="IBM Plex Sans"/>
          <w:b/>
          <w:bCs/>
          <w:color w:val="C9A84C"/>
          <w:sz w:val="20"/>
          <w:szCs w:val="20"/>
        </w:rPr>
        <w:t xml:space="preserve">API · Sigma Pharmaceuticals</w:t>
      </w:r>
      <w:r>
        <w:rPr>
          <w:rFonts w:ascii="IBM Plex Mono" w:cs="IBM Plex Mono" w:eastAsia="IBM Plex Mono" w:hAnsi="IBM Plex Mono"/>
          <w:color w:val="636D7F"/>
          <w:sz w:val="18"/>
          <w:szCs w:val="18"/>
        </w:rPr>
        <w:t xml:space="preserve">  |  2001 – 2008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API — OTC procurement across 15 DCs, seasonal forecasting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Sigma — National replenishment, top OTC suppliers, 15 warehouses</w:t>
      </w:r>
    </w:p>
    <w:p>
      <w:pPr>
        <w:pBdr>
          <w:bottom w:val="single" w:color="C9A84C" w:sz="4" w:space="1"/>
        </w:pBdr>
        <w:spacing w:before="80"/>
      </w:pPr>
      <w:r>
        <w:rPr>
          <w:sz w:val="4"/>
          <w:szCs w:val="4"/>
        </w:rPr>
        <w:t xml:space="preserve"/>
      </w:r>
    </w:p>
    <w:p>
      <w:pPr>
        <w:pStyle w:val="Heading1"/>
        <w:spacing w:after="120" w:before="360"/>
      </w:pPr>
      <w:r>
        <w:rPr>
          <w:rFonts w:ascii="IBM Plex Sans Condensed" w:cs="IBM Plex Sans Condensed" w:eastAsia="IBM Plex Sans Condensed" w:hAnsi="IBM Plex Sans Condensed"/>
          <w:b/>
          <w:bCs/>
          <w:color w:val="0C1220"/>
          <w:sz w:val="28"/>
          <w:szCs w:val="28"/>
        </w:rPr>
        <w:t xml:space="preserve">Technical Skills</w:t>
      </w:r>
    </w:p>
    <w:p>
      <w:pPr>
        <w:spacing w:after="80" w:before="0"/>
      </w:pPr>
      <w:r>
        <w:rPr>
          <w:rFonts w:ascii="IBM Plex Sans Condensed" w:cs="IBM Plex Sans Condensed" w:eastAsia="IBM Plex Sans Condensed" w:hAnsi="IBM Plex Sans Condensed"/>
          <w:b/>
          <w:bCs/>
          <w:color w:val="0C1220"/>
          <w:sz w:val="20"/>
          <w:szCs w:val="20"/>
        </w:rPr>
        <w:t xml:space="preserve">Deep:  </w:t>
      </w: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Power BI (231 visuals, 155 DAX, PBIR/PBIP)  ·  VBA / Excel Architecture (two enterprise engines)  ·  Power Query / M-Code (complex ETL, dual-mode)  ·  SAP ECC / APO (demand, supply, MRP)  ·  S&amp;OP / IBP (CEO-level governance)  ·  AI-Augmented Development (70+ custom skills, published researcher)</w:t>
      </w:r>
    </w:p>
    <w:p>
      <w:pPr>
        <w:spacing w:after="80" w:before="0"/>
      </w:pPr>
      <w:r>
        <w:rPr>
          <w:rFonts w:ascii="IBM Plex Sans Condensed" w:cs="IBM Plex Sans Condensed" w:eastAsia="IBM Plex Sans Condensed" w:hAnsi="IBM Plex Sans Condensed"/>
          <w:b/>
          <w:bCs/>
          <w:color w:val="0C1220"/>
          <w:sz w:val="20"/>
          <w:szCs w:val="20"/>
        </w:rPr>
        <w:t xml:space="preserve">Strong:  </w:t>
      </w: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Python (data automation, research tooling)  ·  Data Architecture (fact/dim modelling, aggregation chains)  ·  HTML / CSS / JavaScript</w:t>
      </w:r>
    </w:p>
    <w:p>
      <w:pPr>
        <w:spacing w:after="120" w:before="0"/>
      </w:pPr>
      <w:r>
        <w:rPr>
          <w:rFonts w:ascii="IBM Plex Sans Condensed" w:cs="IBM Plex Sans Condensed" w:eastAsia="IBM Plex Sans Condensed" w:hAnsi="IBM Plex Sans Condensed"/>
          <w:b/>
          <w:bCs/>
          <w:color w:val="0C1220"/>
          <w:sz w:val="20"/>
          <w:szCs w:val="20"/>
        </w:rPr>
        <w:t xml:space="preserve">Emerging:  </w:t>
      </w: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SaaS / React / Docker (SupplyPulse commercial platform)</w:t>
      </w:r>
    </w:p>
    <w:p>
      <w:pPr>
        <w:pBdr>
          <w:bottom w:val="single" w:color="C9A84C" w:sz="4" w:space="1"/>
        </w:pBdr>
        <w:spacing w:before="80"/>
      </w:pPr>
      <w:r>
        <w:rPr>
          <w:sz w:val="4"/>
          <w:szCs w:val="4"/>
        </w:rPr>
        <w:t xml:space="preserve"/>
      </w:r>
    </w:p>
    <w:p>
      <w:pPr>
        <w:pStyle w:val="Heading1"/>
        <w:spacing w:after="120" w:before="360"/>
      </w:pPr>
      <w:r>
        <w:rPr>
          <w:rFonts w:ascii="IBM Plex Sans Condensed" w:cs="IBM Plex Sans Condensed" w:eastAsia="IBM Plex Sans Condensed" w:hAnsi="IBM Plex Sans Condensed"/>
          <w:b/>
          <w:bCs/>
          <w:color w:val="0C1220"/>
          <w:sz w:val="28"/>
          <w:szCs w:val="28"/>
        </w:rPr>
        <w:t xml:space="preserve">Research &amp; Products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Planck Lattice Research Programme — 5 DOI-registered papers on Zenodo. Original physics and mathematics research. Full publication pipeline with structured peer review.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SupplyPulse — Commercial supply chain planning SaaS platform. Docker, React, full product architecture. 27 years of domain expertise expressed as product.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AI Productivity Ecosystem — 70+ custom skills encoding reusable best practices across research, development, QA, and project delivery.</w:t>
      </w:r>
    </w:p>
    <w:p>
      <w:pPr>
        <w:pBdr>
          <w:bottom w:val="single" w:color="C9A84C" w:sz="4" w:space="1"/>
        </w:pBdr>
        <w:spacing w:before="80"/>
      </w:pPr>
      <w:r>
        <w:rPr>
          <w:sz w:val="4"/>
          <w:szCs w:val="4"/>
        </w:rPr>
        <w:t xml:space="preserve"/>
      </w:r>
    </w:p>
    <w:p>
      <w:pPr>
        <w:pStyle w:val="Heading1"/>
        <w:spacing w:after="120" w:before="360"/>
      </w:pPr>
      <w:r>
        <w:rPr>
          <w:rFonts w:ascii="IBM Plex Sans Condensed" w:cs="IBM Plex Sans Condensed" w:eastAsia="IBM Plex Sans Condensed" w:hAnsi="IBM Plex Sans Condensed"/>
          <w:b/>
          <w:bCs/>
          <w:color w:val="0C1220"/>
          <w:sz w:val="28"/>
          <w:szCs w:val="28"/>
        </w:rPr>
        <w:t xml:space="preserve">Education</w:t>
      </w:r>
    </w:p>
    <w:p>
      <w:pPr>
        <w:spacing w:after="80" w:before="0"/>
      </w:pPr>
      <w:r>
        <w:rPr>
          <w:rFonts w:ascii="IBM Plex Sans" w:cs="IBM Plex Sans" w:eastAsia="IBM Plex Sans" w:hAnsi="IBM Plex Sans"/>
          <w:b/>
          <w:bCs/>
          <w:color w:val="0C1220"/>
          <w:sz w:val="20"/>
          <w:szCs w:val="20"/>
        </w:rPr>
        <w:t xml:space="preserve">Information Technology &amp; Communications</w:t>
      </w:r>
      <w:r>
        <w:rPr>
          <w:rFonts w:ascii="IBM Plex Sans" w:cs="IBM Plex Sans" w:eastAsia="IBM Plex Sans" w:hAnsi="IBM Plex Sans"/>
          <w:color w:val="3D4555"/>
          <w:sz w:val="20"/>
          <w:szCs w:val="20"/>
        </w:rPr>
        <w:t xml:space="preserve"> — University of Wollongong</w:t>
      </w:r>
    </w:p>
    <w:p>
      <w:pPr>
        <w:spacing w:after="80" w:before="0"/>
      </w:pPr>
      <w:r>
        <w:rPr>
          <w:rFonts w:ascii="IBM Plex Sans Condensed" w:cs="IBM Plex Sans Condensed" w:eastAsia="IBM Plex Sans Condensed" w:hAnsi="IBM Plex Sans Condensed"/>
          <w:color w:val="636D7F"/>
          <w:sz w:val="18"/>
          <w:szCs w:val="18"/>
        </w:rPr>
        <w:t xml:space="preserve">Industries:  </w:t>
      </w:r>
      <w:r>
        <w:rPr>
          <w:rFonts w:ascii="IBM Plex Sans" w:cs="IBM Plex Sans" w:eastAsia="IBM Plex Sans" w:hAnsi="IBM Plex Sans"/>
          <w:color w:val="636D7F"/>
          <w:sz w:val="18"/>
          <w:szCs w:val="18"/>
        </w:rPr>
        <w:t xml:space="preserve">Dairy &amp; Ingredients  ·  FMCG  ·  Apparel &amp; Workwear  ·  Pharmaceuticals &amp; Distribution  ·  Bulk Commodities  ·  National Retail  ·  Defence Supply</w:t>
      </w:r>
    </w:p>
    <w:sectPr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›"/>
      <w:lvlJc w:val="left"/>
      <w:pPr>
        <w:ind w:left="540" w:hanging="260"/>
      </w:pPr>
      <w:rPr>
        <w:rFonts w:ascii="IBM Plex Mono" w:cs="IBM Plex Mono" w:eastAsia="IBM Plex Mono" w:hAnsi="IBM Plex Mono"/>
        <w:color w:val="C9A84C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IBM Plex Sans" w:cs="IBM Plex Sans" w:eastAsia="IBM Plex Sans" w:hAnsi="IBM Plex Sans"/>
        <w:color w:val="3D4555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20" w:before="360"/>
      <w:outlineLvl w:val="0"/>
    </w:pPr>
    <w:rPr>
      <w:rFonts w:ascii="IBM Plex Sans Condensed" w:cs="IBM Plex Sans Condensed" w:eastAsia="IBM Plex Sans Condensed" w:hAnsi="IBM Plex Sans Condensed"/>
      <w:b/>
      <w:bCs/>
      <w:color w:val="0C1220"/>
      <w:sz w:val="28"/>
      <w:szCs w:val="28"/>
    </w:rPr>
  </w:style>
  <w:style w:type="paragraph" w:styleId="Heading2">
    <w:name w:val="Heading 2"/>
    <w:basedOn w:val="Normal"/>
    <w:next w:val="Normal"/>
    <w:qFormat/>
    <w:pPr>
      <w:spacing w:after="120" w:before="240"/>
      <w:outlineLvl w:val="1"/>
    </w:pPr>
    <w:rPr>
      <w:rFonts w:ascii="IBM Plex Sans Condensed" w:cs="IBM Plex Sans Condensed" w:eastAsia="IBM Plex Sans Condensed" w:hAnsi="IBM Plex Sans Condensed"/>
      <w:b/>
      <w:bCs/>
      <w:color w:val="0C1220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2026-04-09T05:08:24.812Z</dcterms:created>
  <dcterms:modified xsi:type="dcterms:W3CDTF">2026-04-09T05:08:24.813Z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