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" w:line="280"/>
      </w:pPr>
      <w:r>
        <w:rPr>
          <w:rFonts w:ascii="IBM Plex Sans" w:cs="IBM Plex Sans" w:eastAsia="IBM Plex Sans" w:hAnsi="IBM Plex Sans"/>
          <w:b/>
          <w:bCs/>
          <w:color w:val="1a1814"/>
          <w:spacing w:val="40"/>
          <w:sz w:val="40"/>
          <w:szCs w:val="40"/>
        </w:rPr>
        <w:t xml:space="preserve">ROBERT M. CLARK</w:t>
      </w:r>
    </w:p>
    <w:p>
      <w:pPr>
        <w:spacing w:after="100" w:line="280"/>
      </w:pPr>
      <w:r>
        <w:rPr>
          <w:rFonts w:ascii="IBM Plex Sans" w:cs="IBM Plex Sans" w:eastAsia="IBM Plex Sans" w:hAnsi="IBM Plex Sans"/>
          <w:i/>
          <w:iCs/>
          <w:color w:val="2a5e3e"/>
          <w:sz w:val="24"/>
          <w:szCs w:val="24"/>
        </w:rPr>
        <w:t xml:space="preserve">Data &amp; Analytics  ·  Business Intelligence Systems Builder</w:t>
      </w:r>
    </w:p>
    <w:p>
      <w:pPr>
        <w:spacing w:after="20" w:line="260"/>
      </w:pPr>
      <w:hyperlink w:history="1" r:id="rIdukfxwb40p3xaewml4qcw1">
        <w:r>
          <w:rPr>
            <w:rFonts w:ascii="IBM Plex Sans" w:cs="IBM Plex Sans" w:eastAsia="IBM Plex Sans" w:hAnsi="IBM Plex Sans"/>
            <w:color w:val="2a5e3e"/>
            <w:sz w:val="20"/>
            <w:szCs w:val="20"/>
            <w:u w:val="single"/>
          </w:rPr>
          <w:t xml:space="preserve">robertmclark.dev</w:t>
        </w:r>
      </w:hyperlink>
      <w:r>
        <w:rPr>
          <w:rFonts w:ascii="IBM Plex Sans" w:cs="IBM Plex Sans" w:eastAsia="IBM Plex Sans" w:hAnsi="IBM Plex Sans"/>
          <w:color w:val="4d4843"/>
          <w:sz w:val="20"/>
          <w:szCs w:val="20"/>
        </w:rPr>
        <w:t xml:space="preserve">  ·  robert@robertmclark.dev  ·  +61 447 515 074</w:t>
      </w:r>
    </w:p>
    <w:p>
      <w:pPr>
        <w:pBdr>
          <w:bottom w:val="single" w:color="4e7a5e" w:sz="8" w:space="6"/>
        </w:pBdr>
        <w:spacing w:after="100" w:line="260"/>
      </w:pPr>
      <w:r>
        <w:rPr>
          <w:rFonts w:ascii="IBM Plex Sans" w:cs="IBM Plex Sans" w:eastAsia="IBM Plex Sans" w:hAnsi="IBM Plex Sans"/>
          <w:color w:val="4d4843"/>
          <w:sz w:val="20"/>
          <w:szCs w:val="20"/>
        </w:rPr>
        <w:t xml:space="preserve">Warrnambool, VIC  ·  Remote — AU / NZ / Singapore</w:t>
      </w:r>
    </w:p>
    <w:p>
      <w:pPr>
        <w:pBdr>
          <w:bottom w:val="single" w:color="4e7a5e" w:sz="8" w:space="4"/>
        </w:pBdr>
        <w:spacing w:after="140" w:before="280" w:line="280"/>
      </w:pPr>
      <w:r>
        <w:rPr>
          <w:rFonts w:ascii="IBM Plex Sans" w:cs="IBM Plex Sans" w:eastAsia="IBM Plex Sans" w:hAnsi="IBM Plex Sans"/>
          <w:b/>
          <w:bCs/>
          <w:color w:val="1a1814"/>
          <w:spacing w:val="30"/>
          <w:sz w:val="22"/>
          <w:szCs w:val="22"/>
        </w:rPr>
        <w:t xml:space="preserve">SUMMARY</w:t>
      </w:r>
    </w:p>
    <w:p>
      <w:pPr>
        <w:spacing w:after="120" w:line="290"/>
      </w:pPr>
      <w:r>
        <w:rPr>
          <w:rFonts w:ascii="IBM Plex Sans" w:cs="IBM Plex Sans" w:eastAsia="IBM Plex Sans" w:hAnsi="IBM Plex Sans"/>
          <w:color w:val="1a1814"/>
          <w:sz w:val="20"/>
          <w:szCs w:val="20"/>
        </w:rPr>
        <w:t xml:space="preserve">Business intelligence and enterprise systems builder with a career building centralised data and planning systems for operating businesses. Operating roles first, then enterprise systems built from inside those operating teams.</w:t>
      </w:r>
    </w:p>
    <w:p>
      <w:pPr>
        <w:spacing w:after="120" w:line="290"/>
      </w:pPr>
      <w:r>
        <w:rPr>
          <w:rFonts w:ascii="IBM Plex Sans" w:cs="IBM Plex Sans" w:eastAsia="IBM Plex Sans" w:hAnsi="IBM Plex Sans"/>
          <w:color w:val="1a1814"/>
          <w:sz w:val="20"/>
          <w:szCs w:val="20"/>
        </w:rPr>
        <w:t xml:space="preserve">Most recent enterprise builds in current business use: a Smartsheet-based </w:t>
      </w: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centralised demand change portal</w:t>
      </w:r>
      <w:r>
        <w:rPr>
          <w:rFonts w:ascii="IBM Plex Sans" w:cs="IBM Plex Sans" w:eastAsia="IBM Plex Sans" w:hAnsi="IBM Plex Sans"/>
          <w:color w:val="1a1814"/>
          <w:sz w:val="20"/>
          <w:szCs w:val="20"/>
        </w:rPr>
        <w:t xml:space="preserve"> and a daily </w:t>
      </w: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order-and-invoice projection system</w:t>
      </w:r>
      <w:r>
        <w:rPr>
          <w:rFonts w:ascii="IBM Plex Sans" w:cs="IBM Plex Sans" w:eastAsia="IBM Plex Sans" w:hAnsi="IBM Plex Sans"/>
          <w:color w:val="1a1814"/>
          <w:sz w:val="20"/>
          <w:szCs w:val="20"/>
        </w:rPr>
        <w:t xml:space="preserve"> at Saputo Dairy Australia (bulk ingredients division), and a group-level VBA planning engine across six divisional ERPs at Pacific Brands Workwear Group that delivered a </w:t>
      </w: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20% finished-goods stock reduction worth $15M in year one</w:t>
      </w:r>
      <w:r>
        <w:rPr>
          <w:rFonts w:ascii="IBM Plex Sans" w:cs="IBM Plex Sans" w:eastAsia="IBM Plex Sans" w:hAnsi="IBM Plex Sans"/>
          <w:color w:val="1a1814"/>
          <w:sz w:val="20"/>
          <w:szCs w:val="20"/>
        </w:rPr>
        <w:t xml:space="preserve"> for the NNT division alone.</w:t>
      </w:r>
    </w:p>
    <w:p>
      <w:pPr>
        <w:spacing w:after="120" w:line="290"/>
      </w:pPr>
      <w:r>
        <w:rPr>
          <w:rFonts w:ascii="IBM Plex Sans" w:cs="IBM Plex Sans" w:eastAsia="IBM Plex Sans" w:hAnsi="IBM Plex Sans"/>
          <w:color w:val="1a1814"/>
          <w:sz w:val="20"/>
          <w:szCs w:val="20"/>
        </w:rPr>
        <w:t xml:space="preserve">Microsoft stack native — Power BI, DAX, Power Query / M, Azure, Fabric. SAP ECC source-side at enterprise scale. Smartsheet workflow / portal builds. Microsoft Dynamics AX from Australian Defence Apparel.</w:t>
      </w:r>
    </w:p>
    <w:p>
      <w:pPr>
        <w:spacing w:after="80" w:line="290"/>
      </w:pPr>
      <w:r>
        <w:rPr>
          <w:rFonts w:ascii="IBM Plex Sans" w:cs="IBM Plex Sans" w:eastAsia="IBM Plex Sans" w:hAnsi="IBM Plex Sans"/>
          <w:i/>
          <w:iCs/>
          <w:color w:val="1a1814"/>
          <w:sz w:val="20"/>
          <w:szCs w:val="20"/>
        </w:rPr>
        <w:t xml:space="preserve">Planning fundamentals are universal; every platform expresses the same problem space with different syntax. New systems get adopted quickly.</w:t>
      </w:r>
    </w:p>
    <w:p>
      <w:pPr>
        <w:pBdr>
          <w:bottom w:val="single" w:color="4e7a5e" w:sz="8" w:space="4"/>
        </w:pBdr>
        <w:spacing w:after="140" w:before="280" w:line="280"/>
      </w:pPr>
      <w:r>
        <w:rPr>
          <w:rFonts w:ascii="IBM Plex Sans" w:cs="IBM Plex Sans" w:eastAsia="IBM Plex Sans" w:hAnsi="IBM Plex Sans"/>
          <w:b/>
          <w:bCs/>
          <w:color w:val="1a1814"/>
          <w:spacing w:val="30"/>
          <w:sz w:val="22"/>
          <w:szCs w:val="22"/>
        </w:rPr>
        <w:t xml:space="preserve">CORE CAPABILITIES</w:t>
      </w:r>
    </w:p>
    <w:p>
      <w:pPr>
        <w:spacing w:after="40" w:before="140" w:line="260"/>
      </w:pP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Supply Chain Planning</w:t>
      </w:r>
    </w:p>
    <w:p>
      <w:pPr>
        <w:spacing w:after="80" w:line="260"/>
      </w:pPr>
      <w:r>
        <w:rPr>
          <w:rFonts w:ascii="IBM Plex Sans" w:cs="IBM Plex Sans" w:eastAsia="IBM Plex Sans" w:hAnsi="IBM Plex Sans"/>
          <w:color w:val="4d4843"/>
          <w:sz w:val="20"/>
          <w:szCs w:val="20"/>
        </w:rPr>
        <w:t xml:space="preserve">Demand planning  ·  Supply planning  ·  Inventory optimisation  ·  Master production scheduling  ·  S&amp;OP / IBP  ·  Demand change governance  ·  Multi-echelon networks</w:t>
      </w:r>
    </w:p>
    <w:p>
      <w:pPr>
        <w:spacing w:after="40" w:before="140" w:line="260"/>
      </w:pP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Planning Platforms — Delivered</w:t>
      </w:r>
    </w:p>
    <w:p>
      <w:pPr>
        <w:spacing w:after="80" w:line="260"/>
      </w:pPr>
      <w:r>
        <w:rPr>
          <w:rFonts w:ascii="IBM Plex Sans" w:cs="IBM Plex Sans" w:eastAsia="IBM Plex Sans" w:hAnsi="IBM Plex Sans"/>
          <w:color w:val="4d4843"/>
          <w:sz w:val="20"/>
          <w:szCs w:val="20"/>
        </w:rPr>
        <w:t xml:space="preserve">SAP ECC (source-side, enterprise scale)  ·  Microsoft Dynamics AX  ·  Smartsheet  ·  Excel at enterprise scale  ·  VBA-driven planning engines</w:t>
      </w:r>
    </w:p>
    <w:p>
      <w:pPr>
        <w:spacing w:after="40" w:before="140" w:line="260"/>
      </w:pP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Planning Platforms — Worked Alongside</w:t>
      </w:r>
    </w:p>
    <w:p>
      <w:pPr>
        <w:spacing w:after="80" w:line="260"/>
      </w:pPr>
      <w:r>
        <w:rPr>
          <w:rFonts w:ascii="IBM Plex Sans" w:cs="IBM Plex Sans" w:eastAsia="IBM Plex Sans" w:hAnsi="IBM Plex Sans"/>
          <w:color w:val="4d4843"/>
          <w:sz w:val="20"/>
          <w:szCs w:val="20"/>
        </w:rPr>
        <w:t xml:space="preserve">Anaplan  ·  Kinaxis  ·  Workday Adaptive  ·  SAP IBP</w:t>
      </w:r>
    </w:p>
    <w:p>
      <w:pPr>
        <w:spacing w:after="40" w:before="140" w:line="260"/>
      </w:pP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Microsoft Stack</w:t>
      </w:r>
    </w:p>
    <w:p>
      <w:pPr>
        <w:spacing w:after="80" w:line="260"/>
      </w:pPr>
      <w:r>
        <w:rPr>
          <w:rFonts w:ascii="IBM Plex Sans" w:cs="IBM Plex Sans" w:eastAsia="IBM Plex Sans" w:hAnsi="IBM Plex Sans"/>
          <w:color w:val="4d4843"/>
          <w:sz w:val="20"/>
          <w:szCs w:val="20"/>
        </w:rPr>
        <w:t xml:space="preserve">Power BI  ·  DAX  ·  Power Query / M  ·  Azure  ·  Fabric  ·  Excel modelling at scale</w:t>
      </w:r>
    </w:p>
    <w:p>
      <w:pPr>
        <w:spacing w:after="40" w:before="140" w:line="260"/>
      </w:pP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Build &amp; Engineering</w:t>
      </w:r>
    </w:p>
    <w:p>
      <w:pPr>
        <w:spacing w:after="80" w:line="260"/>
      </w:pPr>
      <w:r>
        <w:rPr>
          <w:rFonts w:ascii="IBM Plex Sans" w:cs="IBM Plex Sans" w:eastAsia="IBM Plex Sans" w:hAnsi="IBM Plex Sans"/>
          <w:color w:val="4d4843"/>
          <w:sz w:val="20"/>
          <w:szCs w:val="20"/>
        </w:rPr>
        <w:t xml:space="preserve">VBA  ·  Python  ·  Smartsheet workflow / portal design  ·  Workflow automation  ·  LLM-augmented engineering (Claude as partner since 2024)</w:t>
      </w:r>
    </w:p>
    <w:p>
      <w:pPr>
        <w:spacing w:after="40" w:before="140" w:line="260"/>
      </w:pP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Consulting-Adjacent Disciplines</w:t>
      </w:r>
    </w:p>
    <w:p>
      <w:pPr>
        <w:spacing w:after="80" w:line="260"/>
      </w:pPr>
      <w:r>
        <w:rPr>
          <w:rFonts w:ascii="IBM Plex Sans" w:cs="IBM Plex Sans" w:eastAsia="IBM Plex Sans" w:hAnsi="IBM Plex Sans"/>
          <w:color w:val="4d4843"/>
          <w:sz w:val="20"/>
          <w:szCs w:val="20"/>
        </w:rPr>
        <w:t xml:space="preserve">Workshop facilitation  ·  Stakeholder management (operator → CEO)  ·  Requirements gathering  ·  Process redesign  ·  Architecture documentation  ·  Capability building  ·  Training and handover governance</w:t>
      </w:r>
    </w:p>
    <w:p>
      <w:pPr>
        <w:pBdr>
          <w:bottom w:val="single" w:color="4e7a5e" w:sz="8" w:space="4"/>
        </w:pBdr>
        <w:spacing w:after="140" w:before="280" w:line="280"/>
      </w:pPr>
      <w:r>
        <w:rPr>
          <w:rFonts w:ascii="IBM Plex Sans" w:cs="IBM Plex Sans" w:eastAsia="IBM Plex Sans" w:hAnsi="IBM Plex Sans"/>
          <w:b/>
          <w:bCs/>
          <w:color w:val="1a1814"/>
          <w:spacing w:val="30"/>
          <w:sz w:val="22"/>
          <w:szCs w:val="22"/>
        </w:rPr>
        <w:t xml:space="preserve">EXPERIENCE</w:t>
      </w:r>
    </w:p>
    <w:p>
      <w:pPr>
        <w:tabs>
          <w:tab w:val="right" w:pos="9360"/>
        </w:tabs>
        <w:spacing w:after="20" w:before="200" w:line="260"/>
      </w:pPr>
      <w:r>
        <w:rPr>
          <w:rFonts w:ascii="IBM Plex Sans" w:cs="IBM Plex Sans" w:eastAsia="IBM Plex Sans" w:hAnsi="IBM Plex Sans"/>
          <w:b/>
          <w:bCs/>
          <w:color w:val="1a1814"/>
          <w:spacing w:val="20"/>
          <w:sz w:val="22"/>
          <w:szCs w:val="22"/>
        </w:rPr>
        <w:t xml:space="preserve">SAPUTO DAIRY AUSTRALIA</w:t>
      </w:r>
      <w:r>
        <w:rPr>
          <w:rFonts w:ascii="IBM Plex Sans" w:cs="IBM Plex Sans" w:eastAsia="IBM Plex Sans" w:hAnsi="IBM Plex Sans"/>
          <w:color w:val="4d4843"/>
          <w:sz w:val="20"/>
          <w:szCs w:val="20"/>
        </w:rPr>
        <w:t xml:space="preserve">	Oct 2017 – Present</w:t>
      </w:r>
    </w:p>
    <w:p>
      <w:pPr>
        <w:spacing w:after="100" w:line="260"/>
      </w:pPr>
      <w:r>
        <w:rPr>
          <w:rFonts w:ascii="IBM Plex Sans" w:cs="IBM Plex Sans" w:eastAsia="IBM Plex Sans" w:hAnsi="IBM Plex Sans"/>
          <w:i/>
          <w:iCs/>
          <w:color w:val="2a5e3e"/>
          <w:sz w:val="20"/>
          <w:szCs w:val="20"/>
        </w:rPr>
        <w:t xml:space="preserve">Continuous Improvement</w:t>
      </w:r>
    </w:p>
    <w:p>
      <w:pPr>
        <w:spacing w:after="140" w:line="280"/>
      </w:pPr>
      <w:r>
        <w:rPr>
          <w:rFonts w:ascii="IBM Plex Sans" w:cs="IBM Plex Sans" w:eastAsia="IBM Plex Sans" w:hAnsi="IBM Plex Sans"/>
          <w:color w:val="1a1814"/>
          <w:sz w:val="20"/>
          <w:szCs w:val="20"/>
        </w:rPr>
        <w:t xml:space="preserve">Career-spanning role across both retail (Oct 2017 – late 2020) and bulk ingredients (late 2020 – Present) divisions. Designed, built and deployed planning systems and process improvements across both sides of the business, in current use.</w:t>
      </w:r>
    </w:p>
    <w:p>
      <w:pPr>
        <w:spacing w:after="40" w:before="80" w:line="280"/>
      </w:pPr>
      <w:r>
        <w:rPr>
          <w:rFonts w:ascii="IBM Plex Sans" w:cs="IBM Plex Sans" w:eastAsia="IBM Plex Sans" w:hAnsi="IBM Plex Sans"/>
          <w:b/>
          <w:bCs/>
          <w:color w:val="2a5e3e"/>
          <w:spacing w:val="20"/>
          <w:sz w:val="18"/>
          <w:szCs w:val="18"/>
        </w:rPr>
        <w:t xml:space="preserve">RETAIL DIVISION</w:t>
      </w:r>
      <w:r>
        <w:rPr>
          <w:rFonts w:ascii="IBM Plex Sans" w:cs="IBM Plex Sans" w:eastAsia="IBM Plex Sans" w:hAnsi="IBM Plex Sans"/>
          <w:color w:val="4d4843"/>
          <w:sz w:val="18"/>
          <w:szCs w:val="18"/>
        </w:rPr>
        <w:t xml:space="preserve">   Oct 2017 – late 2020</w:t>
      </w:r>
    </w:p>
    <w:p>
      <w:pPr>
        <w:spacing w:after="100" w:line="280"/>
      </w:pPr>
      <w:r>
        <w:rPr>
          <w:rFonts w:ascii="IBM Plex Sans" w:cs="IBM Plex Sans" w:eastAsia="IBM Plex Sans" w:hAnsi="IBM Plex Sans"/>
          <w:color w:val="1a1814"/>
          <w:sz w:val="20"/>
          <w:szCs w:val="20"/>
        </w:rPr>
        <w:t xml:space="preserve">Combined demand and supply planning for the retail cheese portfolio — Devondale, Coon and Cheer brands. Managed the supply chain transition for the Coon-to-Cheer national rebrand at the same point I moved to the bulk ingredients division — the last-touch handover delivered cleanly.</w:t>
      </w:r>
    </w:p>
    <w:p>
      <w:pPr>
        <w:spacing w:after="40" w:before="80" w:line="280"/>
      </w:pPr>
      <w:r>
        <w:rPr>
          <w:rFonts w:ascii="IBM Plex Sans" w:cs="IBM Plex Sans" w:eastAsia="IBM Plex Sans" w:hAnsi="IBM Plex Sans"/>
          <w:b/>
          <w:bCs/>
          <w:color w:val="2a5e3e"/>
          <w:spacing w:val="20"/>
          <w:sz w:val="18"/>
          <w:szCs w:val="18"/>
        </w:rPr>
        <w:t xml:space="preserve">BULK INGREDIENTS DIVISION</w:t>
      </w:r>
      <w:r>
        <w:rPr>
          <w:rFonts w:ascii="IBM Plex Sans" w:cs="IBM Plex Sans" w:eastAsia="IBM Plex Sans" w:hAnsi="IBM Plex Sans"/>
          <w:color w:val="4d4843"/>
          <w:sz w:val="18"/>
          <w:szCs w:val="18"/>
        </w:rPr>
        <w:t xml:space="preserve">   late 2020 – Present</w:t>
      </w:r>
    </w:p>
    <w:p>
      <w:pPr>
        <w:spacing w:after="80" w:line="280"/>
      </w:pPr>
      <w:r>
        <w:rPr>
          <w:rFonts w:ascii="IBM Plex Sans" w:cs="IBM Plex Sans" w:eastAsia="IBM Plex Sans" w:hAnsi="IBM Plex Sans"/>
          <w:color w:val="1a1814"/>
          <w:sz w:val="20"/>
          <w:szCs w:val="20"/>
        </w:rPr>
        <w:t xml:space="preserve">Two enterprise systems currently running in the business:</w:t>
      </w:r>
    </w:p>
    <w:p>
      <w:pPr>
        <w:spacing w:after="60" w:line="280"/>
        <w:ind w:left="280" w:hanging="280"/>
      </w:pPr>
      <w:r>
        <w:rPr>
          <w:rFonts w:ascii="IBM Plex Sans" w:cs="IBM Plex Sans" w:eastAsia="IBM Plex Sans" w:hAnsi="IBM Plex Sans"/>
          <w:color w:val="4e7a5e"/>
          <w:sz w:val="20"/>
          <w:szCs w:val="20"/>
        </w:rPr>
        <w:t xml:space="preserve">•   </w:t>
      </w: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Order &amp; Invoice Projection</w:t>
      </w:r>
      <w:r>
        <w:rPr>
          <w:rFonts w:ascii="IBM Plex Sans" w:cs="IBM Plex Sans" w:eastAsia="IBM Plex Sans" w:hAnsi="IBM Plex Sans"/>
          <w:color w:val="1a1814"/>
          <w:sz w:val="20"/>
          <w:szCs w:val="20"/>
        </w:rPr>
        <w:t xml:space="preserve"> — daily forecasting and reconciliation system feeding finance, sales and operations. Replaced the spreadsheet-and-email rhythm that preceded it.</w:t>
      </w:r>
    </w:p>
    <w:p>
      <w:pPr>
        <w:spacing w:after="100" w:line="280"/>
        <w:ind w:left="280" w:hanging="280"/>
      </w:pPr>
      <w:r>
        <w:rPr>
          <w:rFonts w:ascii="IBM Plex Sans" w:cs="IBM Plex Sans" w:eastAsia="IBM Plex Sans" w:hAnsi="IBM Plex Sans"/>
          <w:color w:val="4e7a5e"/>
          <w:sz w:val="20"/>
          <w:szCs w:val="20"/>
        </w:rPr>
        <w:t xml:space="preserve">•   </w:t>
      </w: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Centralised Demand Change Portal</w:t>
      </w:r>
      <w:r>
        <w:rPr>
          <w:rFonts w:ascii="IBM Plex Sans" w:cs="IBM Plex Sans" w:eastAsia="IBM Plex Sans" w:hAnsi="IBM Plex Sans"/>
          <w:color w:val="1a1814"/>
          <w:sz w:val="20"/>
          <w:szCs w:val="20"/>
        </w:rPr>
        <w:t xml:space="preserve"> — built on Smartsheet. Captures every demand change request, runs verification, routes for approval, generates the reporting layer, and maintains the documented audit trail. Replaced ad-hoc handling across email and shared spreadsheets with a single governed surface.</w:t>
      </w:r>
    </w:p>
    <w:p>
      <w:pPr>
        <w:spacing w:after="80" w:before="60" w:line="280"/>
      </w:pPr>
      <w:r>
        <w:rPr>
          <w:rFonts w:ascii="IBM Plex Sans" w:cs="IBM Plex Sans" w:eastAsia="IBM Plex Sans" w:hAnsi="IBM Plex Sans"/>
          <w:i/>
          <w:iCs/>
          <w:color w:val="4d4843"/>
          <w:sz w:val="20"/>
          <w:szCs w:val="20"/>
        </w:rPr>
        <w:t xml:space="preserve">Every system designed to be adopted, governed, documented, and handed over.</w:t>
      </w:r>
    </w:p>
    <w:p>
      <w:pPr>
        <w:tabs>
          <w:tab w:val="right" w:pos="9360"/>
        </w:tabs>
        <w:spacing w:after="20" w:before="200" w:line="260"/>
      </w:pPr>
      <w:r>
        <w:rPr>
          <w:rFonts w:ascii="IBM Plex Sans" w:cs="IBM Plex Sans" w:eastAsia="IBM Plex Sans" w:hAnsi="IBM Plex Sans"/>
          <w:b/>
          <w:bCs/>
          <w:color w:val="1a1814"/>
          <w:spacing w:val="20"/>
          <w:sz w:val="20"/>
          <w:szCs w:val="20"/>
        </w:rPr>
        <w:t xml:space="preserve">NEWELL RUBBERMAID  /  STANLEY BLACK &amp; DECKER</w:t>
      </w:r>
      <w:r>
        <w:rPr>
          <w:rFonts w:ascii="IBM Plex Sans" w:cs="IBM Plex Sans" w:eastAsia="IBM Plex Sans" w:hAnsi="IBM Plex Sans"/>
          <w:color w:val="4d4843"/>
          <w:sz w:val="20"/>
          <w:szCs w:val="20"/>
        </w:rPr>
        <w:t xml:space="preserve">	Dec 2016 – Oct 2017</w:t>
      </w:r>
    </w:p>
    <w:p>
      <w:pPr>
        <w:spacing w:after="100" w:line="260"/>
      </w:pPr>
      <w:r>
        <w:rPr>
          <w:rFonts w:ascii="IBM Plex Sans" w:cs="IBM Plex Sans" w:eastAsia="IBM Plex Sans" w:hAnsi="IBM Plex Sans"/>
          <w:i/>
          <w:iCs/>
          <w:color w:val="2a5e3e"/>
          <w:sz w:val="20"/>
          <w:szCs w:val="20"/>
        </w:rPr>
        <w:t xml:space="preserve">Demand &amp; Supply Planner</w:t>
      </w:r>
    </w:p>
    <w:p>
      <w:pPr>
        <w:spacing w:after="100" w:line="280"/>
      </w:pPr>
      <w:r>
        <w:rPr>
          <w:rFonts w:ascii="IBM Plex Sans" w:cs="IBM Plex Sans" w:eastAsia="IBM Plex Sans" w:hAnsi="IBM Plex Sans"/>
          <w:color w:val="1a1814"/>
          <w:sz w:val="20"/>
          <w:szCs w:val="20"/>
        </w:rPr>
        <w:t xml:space="preserve">Standard demand and supply planning role; continued with the business through the acquisition of Newell Rubbermaid by Stanley Black &amp; Decker.</w:t>
      </w:r>
    </w:p>
    <w:p>
      <w:pPr>
        <w:tabs>
          <w:tab w:val="right" w:pos="9360"/>
        </w:tabs>
        <w:spacing w:after="20" w:before="200" w:line="260"/>
      </w:pPr>
      <w:r>
        <w:rPr>
          <w:rFonts w:ascii="IBM Plex Sans" w:cs="IBM Plex Sans" w:eastAsia="IBM Plex Sans" w:hAnsi="IBM Plex Sans"/>
          <w:b/>
          <w:bCs/>
          <w:color w:val="1a1814"/>
          <w:spacing w:val="20"/>
          <w:sz w:val="22"/>
          <w:szCs w:val="22"/>
        </w:rPr>
        <w:t xml:space="preserve">ADA  ·  PETSTOCK  ·  ARB  ·  PSW  ·  RSEA</w:t>
      </w:r>
      <w:r>
        <w:rPr>
          <w:rFonts w:ascii="IBM Plex Sans" w:cs="IBM Plex Sans" w:eastAsia="IBM Plex Sans" w:hAnsi="IBM Plex Sans"/>
          <w:color w:val="4d4843"/>
          <w:sz w:val="20"/>
          <w:szCs w:val="20"/>
        </w:rPr>
        <w:t xml:space="preserve">	2013 – 2016</w:t>
      </w:r>
    </w:p>
    <w:p>
      <w:pPr>
        <w:spacing w:after="100" w:line="260"/>
      </w:pPr>
      <w:r>
        <w:rPr>
          <w:rFonts w:ascii="IBM Plex Sans" w:cs="IBM Plex Sans" w:eastAsia="IBM Plex Sans" w:hAnsi="IBM Plex Sans"/>
          <w:i/>
          <w:iCs/>
          <w:color w:val="2a5e3e"/>
          <w:sz w:val="20"/>
          <w:szCs w:val="20"/>
        </w:rPr>
        <w:t xml:space="preserve">Supply Chain Planning  ·  BI Systems  ·  Multiple Roles</w:t>
      </w:r>
    </w:p>
    <w:p>
      <w:pPr>
        <w:spacing w:after="100" w:line="280"/>
      </w:pPr>
      <w:r>
        <w:rPr>
          <w:rFonts w:ascii="IBM Plex Sans" w:cs="IBM Plex Sans" w:eastAsia="IBM Plex Sans" w:hAnsi="IBM Plex Sans"/>
          <w:color w:val="1a1814"/>
          <w:sz w:val="20"/>
          <w:szCs w:val="20"/>
        </w:rPr>
        <w:t xml:space="preserve">A series of supply chain planning and BI roles across apparel, retail and manufacturing businesses. Focus on building tools and BI surfaces at each — mix of permanent and contract arrangements.</w:t>
      </w:r>
    </w:p>
    <w:p>
      <w:pPr>
        <w:spacing w:after="60" w:line="260"/>
        <w:ind w:left="280" w:hanging="280"/>
      </w:pPr>
      <w:r>
        <w:rPr>
          <w:rFonts w:ascii="IBM Plex Sans" w:cs="IBM Plex Sans" w:eastAsia="IBM Plex Sans" w:hAnsi="IBM Plex Sans"/>
          <w:color w:val="4e7a5e"/>
          <w:sz w:val="20"/>
          <w:szCs w:val="20"/>
        </w:rPr>
        <w:t xml:space="preserve">•   </w:t>
      </w:r>
      <w:r>
        <w:rPr>
          <w:rFonts w:ascii="IBM Plex Sans" w:cs="IBM Plex Sans" w:eastAsia="IBM Plex Sans" w:hAnsi="IBM Plex Sans"/>
          <w:color w:val="1a1814"/>
          <w:sz w:val="20"/>
          <w:szCs w:val="20"/>
        </w:rPr>
        <w:t xml:space="preserve">Microsoft Dynamics AX experience originates from the Australian Defence Apparel role</w:t>
      </w:r>
    </w:p>
    <w:p>
      <w:pPr>
        <w:spacing w:after="60" w:line="260"/>
        <w:ind w:left="280" w:hanging="280"/>
      </w:pPr>
      <w:r>
        <w:rPr>
          <w:rFonts w:ascii="IBM Plex Sans" w:cs="IBM Plex Sans" w:eastAsia="IBM Plex Sans" w:hAnsi="IBM Plex Sans"/>
          <w:color w:val="4e7a5e"/>
          <w:sz w:val="20"/>
          <w:szCs w:val="20"/>
        </w:rPr>
        <w:t xml:space="preserve">•   </w:t>
      </w:r>
      <w:r>
        <w:rPr>
          <w:rFonts w:ascii="IBM Plex Sans" w:cs="IBM Plex Sans" w:eastAsia="IBM Plex Sans" w:hAnsi="IBM Plex Sans"/>
          <w:color w:val="1a1814"/>
          <w:sz w:val="20"/>
          <w:szCs w:val="20"/>
        </w:rPr>
        <w:t xml:space="preserve">Planning systems and BI surfaces built and handed over at each business</w:t>
      </w:r>
    </w:p>
    <w:p>
      <w:pPr>
        <w:tabs>
          <w:tab w:val="right" w:pos="9360"/>
        </w:tabs>
        <w:spacing w:after="20" w:before="200" w:line="260"/>
      </w:pPr>
      <w:r>
        <w:rPr>
          <w:rFonts w:ascii="IBM Plex Sans" w:cs="IBM Plex Sans" w:eastAsia="IBM Plex Sans" w:hAnsi="IBM Plex Sans"/>
          <w:b/>
          <w:bCs/>
          <w:color w:val="1a1814"/>
          <w:spacing w:val="20"/>
          <w:sz w:val="22"/>
          <w:szCs w:val="22"/>
        </w:rPr>
        <w:t xml:space="preserve">PACIFIC BRANDS WORKWEAR GROUP</w:t>
      </w:r>
      <w:r>
        <w:rPr>
          <w:rFonts w:ascii="IBM Plex Sans" w:cs="IBM Plex Sans" w:eastAsia="IBM Plex Sans" w:hAnsi="IBM Plex Sans"/>
          <w:color w:val="4d4843"/>
          <w:sz w:val="20"/>
          <w:szCs w:val="20"/>
        </w:rPr>
        <w:t xml:space="preserve">	2011 – 2013</w:t>
      </w:r>
    </w:p>
    <w:p>
      <w:pPr>
        <w:spacing w:after="100" w:line="260"/>
      </w:pPr>
      <w:r>
        <w:rPr>
          <w:rFonts w:ascii="IBM Plex Sans" w:cs="IBM Plex Sans" w:eastAsia="IBM Plex Sans" w:hAnsi="IBM Plex Sans"/>
          <w:i/>
          <w:iCs/>
          <w:color w:val="2a5e3e"/>
          <w:sz w:val="20"/>
          <w:szCs w:val="20"/>
        </w:rPr>
        <w:t xml:space="preserve">Group Supply and Demand Manager — Workwear</w:t>
      </w:r>
    </w:p>
    <w:p>
      <w:pPr>
        <w:spacing w:after="100" w:line="280"/>
      </w:pPr>
      <w:r>
        <w:rPr>
          <w:rFonts w:ascii="IBM Plex Sans" w:cs="IBM Plex Sans" w:eastAsia="IBM Plex Sans" w:hAnsi="IBM Plex Sans"/>
          <w:color w:val="1a1814"/>
          <w:sz w:val="20"/>
          <w:szCs w:val="20"/>
        </w:rPr>
        <w:t xml:space="preserve">GROUP-level role three management tiers above the operating-unit role I had been promoted from. Designed and built a centralised VBA planning engine harvesting six divisional ERPs.</w:t>
      </w:r>
    </w:p>
    <w:p>
      <w:pPr>
        <w:spacing w:after="60" w:line="260"/>
        <w:ind w:left="280" w:hanging="280"/>
      </w:pPr>
      <w:r>
        <w:rPr>
          <w:rFonts w:ascii="IBM Plex Sans" w:cs="IBM Plex Sans" w:eastAsia="IBM Plex Sans" w:hAnsi="IBM Plex Sans"/>
          <w:color w:val="4e7a5e"/>
          <w:sz w:val="20"/>
          <w:szCs w:val="20"/>
        </w:rPr>
        <w:t xml:space="preserve">•   </w:t>
      </w:r>
      <w:r>
        <w:rPr>
          <w:rFonts w:ascii="IBM Plex Sans" w:cs="IBM Plex Sans" w:eastAsia="IBM Plex Sans" w:hAnsi="IBM Plex Sans"/>
          <w:color w:val="1a1814"/>
          <w:sz w:val="20"/>
          <w:szCs w:val="20"/>
        </w:rPr>
        <w:t xml:space="preserve">Multi-site team across VIC, NSW and NZ</w:t>
      </w:r>
    </w:p>
    <w:p>
      <w:pPr>
        <w:spacing w:after="60" w:line="260"/>
        <w:ind w:left="280" w:hanging="280"/>
      </w:pPr>
      <w:r>
        <w:rPr>
          <w:rFonts w:ascii="IBM Plex Sans" w:cs="IBM Plex Sans" w:eastAsia="IBM Plex Sans" w:hAnsi="IBM Plex Sans"/>
          <w:color w:val="4e7a5e"/>
          <w:sz w:val="20"/>
          <w:szCs w:val="20"/>
        </w:rPr>
        <w:t xml:space="preserve">•   </w:t>
      </w:r>
      <w:r>
        <w:rPr>
          <w:rFonts w:ascii="IBM Plex Sans" w:cs="IBM Plex Sans" w:eastAsia="IBM Plex Sans" w:hAnsi="IBM Plex Sans"/>
          <w:color w:val="1a1814"/>
          <w:sz w:val="20"/>
          <w:szCs w:val="20"/>
        </w:rPr>
        <w:t xml:space="preserve">Auto-generated supplier orders and branded supply / S&amp;OP decks for divisional CEOs with mandatory sign-off governance</w:t>
      </w:r>
    </w:p>
    <w:p>
      <w:pPr>
        <w:spacing w:after="60" w:line="260"/>
        <w:ind w:left="280" w:hanging="280"/>
      </w:pPr>
      <w:r>
        <w:rPr>
          <w:rFonts w:ascii="IBM Plex Sans" w:cs="IBM Plex Sans" w:eastAsia="IBM Plex Sans" w:hAnsi="IBM Plex Sans"/>
          <w:color w:val="4e7a5e"/>
          <w:sz w:val="20"/>
          <w:szCs w:val="20"/>
        </w:rPr>
        <w:t xml:space="preserve">•   </w:t>
      </w:r>
      <w:r>
        <w:rPr>
          <w:rFonts w:ascii="IBM Plex Sans" w:cs="IBM Plex Sans" w:eastAsia="IBM Plex Sans" w:hAnsi="IBM Plex Sans"/>
          <w:b/>
          <w:bCs/>
          <w:color w:val="1a1814"/>
          <w:sz w:val="20"/>
          <w:szCs w:val="20"/>
        </w:rPr>
        <w:t xml:space="preserve">NNT division: 20% finished-goods stock reduction worth $15M in year one of operation</w:t>
      </w:r>
    </w:p>
    <w:p>
      <w:pPr>
        <w:spacing w:after="60" w:line="260"/>
        <w:ind w:left="280" w:hanging="280"/>
      </w:pPr>
      <w:r>
        <w:rPr>
          <w:rFonts w:ascii="IBM Plex Sans" w:cs="IBM Plex Sans" w:eastAsia="IBM Plex Sans" w:hAnsi="IBM Plex Sans"/>
          <w:color w:val="4e7a5e"/>
          <w:sz w:val="20"/>
          <w:szCs w:val="20"/>
        </w:rPr>
        <w:t xml:space="preserve">•   </w:t>
      </w:r>
      <w:r>
        <w:rPr>
          <w:rFonts w:ascii="IBM Plex Sans" w:cs="IBM Plex Sans" w:eastAsia="IBM Plex Sans" w:hAnsi="IBM Plex Sans"/>
          <w:color w:val="1a1814"/>
          <w:sz w:val="20"/>
          <w:szCs w:val="20"/>
        </w:rPr>
        <w:t xml:space="preserve">Workshop facilitation, requirements gathering and process redesign at group and divisional-CEO level</w:t>
      </w:r>
    </w:p>
    <w:p>
      <w:pPr>
        <w:tabs>
          <w:tab w:val="right" w:pos="9360"/>
        </w:tabs>
        <w:spacing w:after="20" w:before="200" w:line="260"/>
      </w:pPr>
      <w:r>
        <w:rPr>
          <w:rFonts w:ascii="IBM Plex Sans" w:cs="IBM Plex Sans" w:eastAsia="IBM Plex Sans" w:hAnsi="IBM Plex Sans"/>
          <w:b/>
          <w:bCs/>
          <w:color w:val="1a1814"/>
          <w:spacing w:val="20"/>
          <w:sz w:val="22"/>
          <w:szCs w:val="22"/>
        </w:rPr>
        <w:t xml:space="preserve">EARLIER CAREER</w:t>
      </w:r>
      <w:r>
        <w:rPr>
          <w:rFonts w:ascii="IBM Plex Sans" w:cs="IBM Plex Sans" w:eastAsia="IBM Plex Sans" w:hAnsi="IBM Plex Sans"/>
          <w:color w:val="4d4843"/>
          <w:sz w:val="20"/>
          <w:szCs w:val="20"/>
        </w:rPr>
        <w:t xml:space="preserve">	1999 – 2011</w:t>
      </w:r>
    </w:p>
    <w:p>
      <w:pPr>
        <w:spacing w:after="100" w:line="260"/>
      </w:pPr>
      <w:r>
        <w:rPr>
          <w:rFonts w:ascii="IBM Plex Sans" w:cs="IBM Plex Sans" w:eastAsia="IBM Plex Sans" w:hAnsi="IBM Plex Sans"/>
          <w:i/>
          <w:iCs/>
          <w:color w:val="2a5e3e"/>
          <w:sz w:val="20"/>
          <w:szCs w:val="20"/>
        </w:rPr>
        <w:t xml:space="preserve">Supply Chain Operating Roles</w:t>
      </w:r>
    </w:p>
    <w:p>
      <w:pPr>
        <w:spacing w:after="100" w:line="280"/>
      </w:pPr>
      <w:r>
        <w:rPr>
          <w:rFonts w:ascii="IBM Plex Sans" w:cs="IBM Plex Sans" w:eastAsia="IBM Plex Sans" w:hAnsi="IBM Plex Sans"/>
          <w:color w:val="1a1814"/>
          <w:sz w:val="20"/>
          <w:szCs w:val="20"/>
        </w:rPr>
        <w:t xml:space="preserve">Supply chain operating roles across FMCG, manufacturing and apparel — demand planning, supply planning, master production scheduling, inventory control. Operator-side foundation for the systems-building pattern that followed.</w:t>
      </w:r>
    </w:p>
    <w:p>
      <w:pPr>
        <w:pBdr>
          <w:bottom w:val="single" w:color="4e7a5e" w:sz="8" w:space="4"/>
        </w:pBdr>
        <w:spacing w:after="140" w:before="280" w:line="280"/>
      </w:pPr>
      <w:r>
        <w:rPr>
          <w:rFonts w:ascii="IBM Plex Sans" w:cs="IBM Plex Sans" w:eastAsia="IBM Plex Sans" w:hAnsi="IBM Plex Sans"/>
          <w:b/>
          <w:bCs/>
          <w:color w:val="1a1814"/>
          <w:spacing w:val="30"/>
          <w:sz w:val="22"/>
          <w:szCs w:val="22"/>
        </w:rPr>
        <w:t xml:space="preserve">TOOLS</w:t>
      </w:r>
    </w:p>
    <w:p>
      <w:pPr>
        <w:spacing w:after="80" w:line="260"/>
      </w:pPr>
      <w:r>
        <w:rPr>
          <w:rFonts w:ascii="IBM Plex Sans" w:cs="IBM Plex Sans" w:eastAsia="IBM Plex Sans" w:hAnsi="IBM Plex Sans"/>
          <w:color w:val="4d4843"/>
          <w:sz w:val="20"/>
          <w:szCs w:val="20"/>
        </w:rPr>
        <w:t xml:space="preserve">SAP ECC  ·  Microsoft Dynamics AX  ·  Smartsheet  ·  Power BI  ·  DAX  ·  Power Query (M)  ·  VBA  ·  Python  ·  Azure  ·  Fabric  ·  Cloudflare Workers  ·  Git  ·  Google Sheets API  ·  Claude (engineering partner since 2024)</w:t>
      </w:r>
    </w:p>
    <w:p>
      <w:pPr>
        <w:pBdr>
          <w:bottom w:val="single" w:color="4e7a5e" w:sz="8" w:space="4"/>
        </w:pBdr>
        <w:spacing w:after="140" w:before="280" w:line="280"/>
      </w:pPr>
      <w:r>
        <w:rPr>
          <w:rFonts w:ascii="IBM Plex Sans" w:cs="IBM Plex Sans" w:eastAsia="IBM Plex Sans" w:hAnsi="IBM Plex Sans"/>
          <w:b/>
          <w:bCs/>
          <w:color w:val="1a1814"/>
          <w:spacing w:val="30"/>
          <w:sz w:val="22"/>
          <w:szCs w:val="22"/>
        </w:rPr>
        <w:t xml:space="preserve">REFERENCES</w:t>
      </w:r>
    </w:p>
    <w:p>
      <w:pPr>
        <w:spacing w:after="100" w:line="280"/>
        <w:jc w:val="left"/>
      </w:pPr>
      <w:r>
        <w:rPr>
          <w:rFonts w:ascii="IBM Plex Sans" w:cs="IBM Plex Sans" w:eastAsia="IBM Plex Sans" w:hAnsi="IBM Plex Sans"/>
          <w:b w:val="false"/>
          <w:bCs w:val="false"/>
          <w:i w:val="false"/>
          <w:iCs w:val="false"/>
          <w:color w:val="4d4843"/>
          <w:sz w:val="20"/>
          <w:szCs w:val="20"/>
        </w:rPr>
        <w:t xml:space="preserve">Available on request.</w:t>
      </w:r>
    </w:p>
    <w:sectPr>
      <w:pgSz w:w="11906" w:h="16838" w:orient="portrait"/>
      <w:pgMar w:top="900" w:right="1134" w:bottom="900" w:left="1134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IBM Plex Sans" w:cs="IBM Plex Sans" w:eastAsia="IBM Plex Sans" w:hAnsi="IBM Plex Sans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ukfxwb40p3xaewml4qcw1" Type="http://schemas.openxmlformats.org/officeDocument/2006/relationships/hyperlink" Target="https://robertmclark.dev/company/wannon-water.html" TargetMode="Externa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Robert M. Clark — CV — Tridant — Supply Chain Planning &amp; Technology Consultant</dc:title>
  <dc:creator>Robert M. Clark</dc:creator>
  <cp:lastModifiedBy>Un-named</cp:lastModifiedBy>
  <cp:revision>1</cp:revision>
  <dcterms:created xsi:type="dcterms:W3CDTF">2026-05-24T21:58:07.408Z</dcterms:created>
  <dcterms:modified xsi:type="dcterms:W3CDTF">2026-05-24T21:58:07.408Z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