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line="280"/>
      </w:pPr>
      <w:r>
        <w:rPr>
          <w:rFonts w:ascii="IBM Plex Sans" w:cs="IBM Plex Sans" w:eastAsia="IBM Plex Sans" w:hAnsi="IBM Plex Sans"/>
          <w:b/>
          <w:bCs/>
          <w:color w:val="1a1814"/>
          <w:sz w:val="32"/>
          <w:szCs w:val="32"/>
        </w:rPr>
        <w:t xml:space="preserve">Robert M. Clark</w:t>
      </w:r>
    </w:p>
    <w:p>
      <w:pPr>
        <w:spacing w:after="40" w:line="280"/>
      </w:pPr>
      <w:hyperlink w:history="1" r:id="rIdbdlsfctdoxptqjcfhlry5">
        <w:r>
          <w:rPr>
            <w:rFonts w:ascii="IBM Plex Sans" w:cs="IBM Plex Sans" w:eastAsia="IBM Plex Sans" w:hAnsi="IBM Plex Sans"/>
            <w:color w:val="2a5e3e"/>
            <w:sz w:val="22"/>
            <w:szCs w:val="22"/>
            <w:u w:val="single"/>
          </w:rPr>
          <w:t xml:space="preserve">robertmclark.dev</w:t>
        </w:r>
      </w:hyperlink>
    </w:p>
    <w:p>
      <w:pPr>
        <w:spacing w:after="40" w:line="280"/>
      </w:pPr>
      <w:r>
        <w:rPr>
          <w:rFonts w:ascii="IBM Plex Sans" w:cs="IBM Plex Sans" w:eastAsia="IBM Plex Sans" w:hAnsi="IBM Plex Sans"/>
          <w:color w:val="4d4843"/>
          <w:sz w:val="22"/>
          <w:szCs w:val="22"/>
        </w:rPr>
        <w:t xml:space="preserve">robert@robertmclark.dev</w:t>
      </w:r>
    </w:p>
    <w:p>
      <w:pPr>
        <w:pBdr>
          <w:bottom w:val="single" w:color="4e7a5e" w:sz="6" w:space="6"/>
        </w:pBdr>
        <w:spacing w:after="280" w:line="280"/>
      </w:pPr>
      <w:r>
        <w:rPr>
          <w:rFonts w:ascii="IBM Plex Sans" w:cs="IBM Plex Sans" w:eastAsia="IBM Plex Sans" w:hAnsi="IBM Plex Sans"/>
          <w:color w:val="4d4843"/>
          <w:sz w:val="22"/>
          <w:szCs w:val="22"/>
        </w:rPr>
        <w:t xml:space="preserve">Warrnambool, VIC</w:t>
      </w:r>
    </w:p>
    <w:p>
      <w:pPr>
        <w:spacing w:after="240" w:line="290"/>
        <w:jc w:val="left"/>
      </w:pPr>
      <w:r>
        <w:rPr>
          <w:rFonts w:ascii="IBM Plex Sans" w:cs="IBM Plex Sans" w:eastAsia="IBM Plex Sans" w:hAnsi="IBM Plex Sans"/>
          <w:b w:val="false"/>
          <w:bCs w:val="false"/>
          <w:color w:val="1a1814"/>
          <w:sz w:val="22"/>
          <w:szCs w:val="22"/>
        </w:rPr>
        <w:t xml:space="preserve">24 May 2026</w:t>
      </w:r>
    </w:p>
    <w:p>
      <w:pPr>
        <w:spacing w:after="60" w:line="290"/>
        <w:jc w:val="left"/>
      </w:pPr>
      <w:r>
        <w:rPr>
          <w:rFonts w:ascii="IBM Plex Sans" w:cs="IBM Plex Sans" w:eastAsia="IBM Plex Sans" w:hAnsi="IBM Plex Sans"/>
          <w:b w:val="false"/>
          <w:bCs w:val="false"/>
          <w:color w:val="1a1814"/>
          <w:sz w:val="22"/>
          <w:szCs w:val="22"/>
        </w:rPr>
        <w:t xml:space="preserve">Supply Chain Practice</w:t>
      </w:r>
    </w:p>
    <w:p>
      <w:pPr>
        <w:spacing w:after="60" w:line="290"/>
        <w:jc w:val="left"/>
      </w:pPr>
      <w:r>
        <w:rPr>
          <w:rFonts w:ascii="IBM Plex Sans" w:cs="IBM Plex Sans" w:eastAsia="IBM Plex Sans" w:hAnsi="IBM Plex Sans"/>
          <w:b w:val="false"/>
          <w:bCs w:val="false"/>
          <w:color w:val="1a1814"/>
          <w:sz w:val="22"/>
          <w:szCs w:val="22"/>
        </w:rPr>
        <w:t xml:space="preserve">Tridant Pty Ltd</w:t>
      </w:r>
    </w:p>
    <w:p>
      <w:pPr>
        <w:spacing w:after="60" w:line="290"/>
        <w:jc w:val="left"/>
      </w:pPr>
      <w:r>
        <w:rPr>
          <w:rFonts w:ascii="IBM Plex Sans" w:cs="IBM Plex Sans" w:eastAsia="IBM Plex Sans" w:hAnsi="IBM Plex Sans"/>
          <w:b w:val="false"/>
          <w:bCs w:val="false"/>
          <w:color w:val="1a1814"/>
          <w:sz w:val="22"/>
          <w:szCs w:val="22"/>
        </w:rPr>
        <w:t xml:space="preserve">Level 23, Tower 5, 727 Collins Street</w:t>
      </w:r>
    </w:p>
    <w:p>
      <w:pPr>
        <w:spacing w:after="280" w:line="290"/>
        <w:jc w:val="left"/>
      </w:pPr>
      <w:r>
        <w:rPr>
          <w:rFonts w:ascii="IBM Plex Sans" w:cs="IBM Plex Sans" w:eastAsia="IBM Plex Sans" w:hAnsi="IBM Plex Sans"/>
          <w:b w:val="false"/>
          <w:bCs w:val="false"/>
          <w:color w:val="1a1814"/>
          <w:sz w:val="22"/>
          <w:szCs w:val="22"/>
        </w:rPr>
        <w:t xml:space="preserve">Docklands, VIC 3008</w:t>
      </w:r>
    </w:p>
    <w:p>
      <w:pPr>
        <w:spacing w:after="240" w:line="290"/>
      </w:pPr>
      <w:r>
        <w:rPr>
          <w:rFonts w:ascii="IBM Plex Sans" w:cs="IBM Plex Sans" w:eastAsia="IBM Plex Sans" w:hAnsi="IBM Plex Sans"/>
          <w:b/>
          <w:bCs/>
          <w:color w:val="1a1814"/>
          <w:sz w:val="22"/>
          <w:szCs w:val="22"/>
        </w:rPr>
        <w:t xml:space="preserve">Re: Supply Chain Planning &amp; Technology Consultant — Option 2</w:t>
      </w:r>
    </w:p>
    <w:p>
      <w:pPr>
        <w:spacing w:after="160" w:line="290"/>
        <w:jc w:val="left"/>
      </w:pPr>
      <w:r>
        <w:rPr>
          <w:rFonts w:ascii="IBM Plex Sans" w:cs="IBM Plex Sans" w:eastAsia="IBM Plex Sans" w:hAnsi="IBM Plex Sans"/>
          <w:b w:val="false"/>
          <w:bCs w:val="false"/>
          <w:color w:val="1a1814"/>
          <w:sz w:val="22"/>
          <w:szCs w:val="22"/>
        </w:rPr>
        <w:t xml:space="preserve">The December 2025 Syncron VAR announcement and Tridant’s stated supply chain practice expansion suggest the firm is hiring for the seam where supply chain operating depth meets planning-platform configuration. Your Option 2 pathway describes that profile almost exactly — and it is mine.</w:t>
      </w:r>
    </w:p>
    <w:p>
      <w:pPr>
        <w:spacing w:after="160" w:line="290"/>
        <w:jc w:val="left"/>
      </w:pPr>
      <w:r>
        <w:rPr>
          <w:rFonts w:ascii="IBM Plex Sans" w:cs="IBM Plex Sans" w:eastAsia="IBM Plex Sans" w:hAnsi="IBM Plex Sans"/>
          <w:b w:val="false"/>
          <w:bCs w:val="false"/>
          <w:color w:val="1a1814"/>
          <w:sz w:val="22"/>
          <w:szCs w:val="22"/>
        </w:rPr>
        <w:t xml:space="preserve">I have spent a career in supply chain planning roles across FMCG, manufacturing and apparel — demand planning, supply planning, inventory optimisation, master production scheduling and S&amp;OP. The pattern across each of those businesses was the same: legacy spreadsheets carrying enterprise-grade planning load that the source systems could not. The two builds I am most proud of came from solving that pattern at scale.</w:t>
      </w:r>
    </w:p>
    <w:p>
      <w:pPr>
        <w:spacing w:after="160" w:line="290"/>
      </w:pPr>
      <w:r>
        <w:rPr>
          <w:rFonts w:ascii="IBM Plex Sans" w:cs="IBM Plex Sans" w:eastAsia="IBM Plex Sans" w:hAnsi="IBM Plex Sans"/>
          <w:b/>
          <w:bCs/>
          <w:color w:val="1a1814"/>
          <w:sz w:val="22"/>
          <w:szCs w:val="22"/>
        </w:rPr>
        <w:t xml:space="preserve">At Pacific Brands Workwear Group</w:t>
      </w:r>
      <w:r>
        <w:rPr>
          <w:rFonts w:ascii="IBM Plex Sans" w:cs="IBM Plex Sans" w:eastAsia="IBM Plex Sans" w:hAnsi="IBM Plex Sans"/>
          <w:color w:val="1a1814"/>
          <w:sz w:val="22"/>
          <w:szCs w:val="22"/>
        </w:rPr>
        <w:t xml:space="preserve">, I designed and built a centralised VBA planning engine that harvested data from six divisional ERPs, generated supplier orders, and produced branded supply and S&amp;OP decks for divisional CEOs with mandatory sign-off governance. The team operated across VIC, NSW and NZ. In year one of operation the build delivered a 20% finished-goods stock reduction worth $15M for the NNT division alone. The build sat three management tiers above the operating-unit role I had been promoted out of, and required group-level workshop facilitation, stakeholder management and process redesign.</w:t>
      </w:r>
    </w:p>
    <w:p>
      <w:pPr>
        <w:spacing w:after="160" w:line="290"/>
      </w:pPr>
      <w:r>
        <w:rPr>
          <w:rFonts w:ascii="IBM Plex Sans" w:cs="IBM Plex Sans" w:eastAsia="IBM Plex Sans" w:hAnsi="IBM Plex Sans"/>
          <w:b/>
          <w:bCs/>
          <w:color w:val="1a1814"/>
          <w:sz w:val="22"/>
          <w:szCs w:val="22"/>
        </w:rPr>
        <w:t xml:space="preserve">At Saputo Dairy Australia</w:t>
      </w:r>
      <w:r>
        <w:rPr>
          <w:rFonts w:ascii="IBM Plex Sans" w:cs="IBM Plex Sans" w:eastAsia="IBM Plex Sans" w:hAnsi="IBM Plex Sans"/>
          <w:color w:val="1a1814"/>
          <w:sz w:val="22"/>
          <w:szCs w:val="22"/>
        </w:rPr>
        <w:t xml:space="preserve"> I built and deployed planning systems across the retail and bulk ingredients divisions over an 8-year tenure. The retail side covered the cheese portfolio — Devondale, Coon, Cheer — including supply planning for the Coon-to-Cheer national rebrand transition delivered at the same point I moved to bulk. The bulk ingredients side carries two enterprise systems currently running in the business: a daily order-and-invoice projection system feeding finance, sales and operations; and a centralised demand change portal built in Smartsheet that captures every change request, runs verification, routes for approval, generates the reporting layer, and maintains the documented audit trail. Both replaced what used to live in email threads and ad-hoc spreadsheets with single governed surfaces — the same spreadsheet-retirement problem Tridant’s supply chain offering sets out to solve at platform scale.</w:t>
      </w:r>
    </w:p>
    <w:p>
      <w:pPr>
        <w:spacing w:after="160" w:line="290"/>
        <w:jc w:val="left"/>
      </w:pPr>
      <w:r>
        <w:rPr>
          <w:rFonts w:ascii="IBM Plex Sans" w:cs="IBM Plex Sans" w:eastAsia="IBM Plex Sans" w:hAnsi="IBM Plex Sans"/>
          <w:b w:val="false"/>
          <w:bCs w:val="false"/>
          <w:color w:val="1a1814"/>
          <w:sz w:val="22"/>
          <w:szCs w:val="22"/>
        </w:rPr>
        <w:t xml:space="preserve">The Microsoft delivery stack — Power BI, DAX, Power Query / M, Azure, Fabric — is native ground. So is the SAP source side; I have ingested ECC data at scale for years. Microsoft Dynamics AX is in my background from a prior role at Australian Defence Apparel. I have not yet implemented Anaplan or Kinaxis as primary tools. Planning fundamentals are universal — every platform expresses the same problem space with different syntax — so I expect a normal first-delivery ramp to productive configuration work.</w:t>
      </w:r>
    </w:p>
    <w:p>
      <w:pPr>
        <w:spacing w:after="160" w:line="290"/>
        <w:jc w:val="left"/>
      </w:pPr>
      <w:r>
        <w:rPr>
          <w:rFonts w:ascii="IBM Plex Sans" w:cs="IBM Plex Sans" w:eastAsia="IBM Plex Sans" w:hAnsi="IBM Plex Sans"/>
          <w:b w:val="false"/>
          <w:bCs w:val="false"/>
          <w:color w:val="1a1814"/>
          <w:sz w:val="22"/>
          <w:szCs w:val="22"/>
        </w:rPr>
        <w:t xml:space="preserve">A career-length pattern of moving between operating-business systems and the planning teams that use them gives me what I think the Option 2 path is asking for — supply chain depth, technology aptitude, and the workshop / requirements-gathering instinct that consulting demands. The capability-building and stakeholder-translation side of the role is also already familiar: every major build I have shipped has needed the user community trained, the architecture documented, and the data feeds governed before it survived a quarter.</w:t>
      </w:r>
    </w:p>
    <w:p>
      <w:pPr>
        <w:spacing w:after="120" w:before="200" w:line="290"/>
      </w:pPr>
      <w:r>
        <w:rPr>
          <w:rFonts w:ascii="IBM Plex Sans" w:cs="IBM Plex Sans" w:eastAsia="IBM Plex Sans" w:hAnsi="IBM Plex Sans"/>
          <w:b/>
          <w:bCs/>
          <w:color w:val="1a1814"/>
          <w:sz w:val="22"/>
          <w:szCs w:val="22"/>
        </w:rPr>
        <w:t xml:space="preserve">Two practical points worth flagging up-front:</w:t>
      </w:r>
    </w:p>
    <w:p>
      <w:pPr>
        <w:spacing w:after="160" w:line="290"/>
        <w:jc w:val="left"/>
      </w:pPr>
      <w:r>
        <w:rPr>
          <w:rFonts w:ascii="IBM Plex Sans" w:cs="IBM Plex Sans" w:eastAsia="IBM Plex Sans" w:hAnsi="IBM Plex Sans"/>
          <w:b w:val="false"/>
          <w:bCs w:val="false"/>
          <w:color w:val="1a1814"/>
          <w:sz w:val="22"/>
          <w:szCs w:val="22"/>
        </w:rPr>
        <w:t xml:space="preserve">I am based in Warrnambool, VIC, and have been working from home since 2019. The role’s confirmed full-remote scope across Australia, New Zealand and Singapore is exactly what I am set up for. Planned and infrequent client travel for workshops, milestone meetings or go-lives is welcome and built into the rhythm of consulting work.</w:t>
      </w:r>
    </w:p>
    <w:p>
      <w:pPr>
        <w:spacing w:after="160" w:line="290"/>
        <w:jc w:val="left"/>
      </w:pPr>
      <w:r>
        <w:rPr>
          <w:rFonts w:ascii="IBM Plex Sans" w:cs="IBM Plex Sans" w:eastAsia="IBM Plex Sans" w:hAnsi="IBM Plex Sans"/>
          <w:b w:val="false"/>
          <w:bCs w:val="false"/>
          <w:color w:val="1a1814"/>
          <w:sz w:val="22"/>
          <w:szCs w:val="22"/>
        </w:rPr>
        <w:t xml:space="preserve">I do not hold a completed bachelor’s degree. Career — practical experience across supply chain planning, BI, and enterprise systems delivery — is what I bring against the requirement. Happy to discuss directly if this is a hard gate.</w:t>
      </w:r>
    </w:p>
    <w:p>
      <w:pPr>
        <w:spacing w:after="200" w:before="200" w:line="290"/>
      </w:pPr>
      <w:r>
        <w:rPr>
          <w:rFonts w:ascii="IBM Plex Sans" w:cs="IBM Plex Sans" w:eastAsia="IBM Plex Sans" w:hAnsi="IBM Plex Sans"/>
          <w:color w:val="1a1814"/>
          <w:sz w:val="22"/>
          <w:szCs w:val="22"/>
        </w:rPr>
        <w:t xml:space="preserve">A company dossier and supply chain industry report are at </w:t>
      </w:r>
      <w:hyperlink w:history="1" r:id="rIdjvqgddrlm0wpqxjymtltz">
        <w:r>
          <w:rPr>
            <w:rFonts w:ascii="IBM Plex Sans" w:cs="IBM Plex Sans" w:eastAsia="IBM Plex Sans" w:hAnsi="IBM Plex Sans"/>
            <w:color w:val="2a5e3e"/>
            <w:sz w:val="22"/>
            <w:szCs w:val="22"/>
            <w:u w:val="single"/>
          </w:rPr>
          <w:t xml:space="preserve">robertmclark.dev/company/tridant.html</w:t>
        </w:r>
      </w:hyperlink>
      <w:r>
        <w:rPr>
          <w:rFonts w:ascii="IBM Plex Sans" w:cs="IBM Plex Sans" w:eastAsia="IBM Plex Sans" w:hAnsi="IBM Plex Sans"/>
          <w:color w:val="1a1814"/>
          <w:sz w:val="22"/>
          <w:szCs w:val="22"/>
        </w:rPr>
        <w:t xml:space="preserve"> — five mandate-approach pairs against the role, the partner ecosystem, and the sector context I read Tridant moving into.</w:t>
      </w:r>
    </w:p>
    <w:p>
      <w:pPr>
        <w:spacing w:after="240" w:line="290"/>
        <w:jc w:val="left"/>
      </w:pPr>
      <w:r>
        <w:rPr>
          <w:rFonts w:ascii="IBM Plex Sans" w:cs="IBM Plex Sans" w:eastAsia="IBM Plex Sans" w:hAnsi="IBM Plex Sans"/>
          <w:b w:val="false"/>
          <w:bCs w:val="false"/>
          <w:color w:val="1a1814"/>
          <w:sz w:val="22"/>
          <w:szCs w:val="22"/>
        </w:rPr>
        <w:t xml:space="preserve">I would value the conversation.</w:t>
      </w:r>
    </w:p>
    <w:p>
      <w:pPr>
        <w:spacing w:after="60" w:line="290"/>
        <w:jc w:val="left"/>
      </w:pPr>
      <w:r>
        <w:rPr>
          <w:rFonts w:ascii="IBM Plex Sans" w:cs="IBM Plex Sans" w:eastAsia="IBM Plex Sans" w:hAnsi="IBM Plex Sans"/>
          <w:b w:val="false"/>
          <w:bCs w:val="false"/>
          <w:color w:val="1a1814"/>
          <w:sz w:val="22"/>
          <w:szCs w:val="22"/>
        </w:rPr>
        <w:t xml:space="preserve">Regards,</w:t>
      </w:r>
    </w:p>
    <w:p>
      <w:pPr>
        <w:spacing w:after="40" w:before="200" w:line="290"/>
      </w:pPr>
      <w:r>
        <w:rPr>
          <w:rFonts w:ascii="IBM Plex Sans" w:cs="IBM Plex Sans" w:eastAsia="IBM Plex Sans" w:hAnsi="IBM Plex Sans"/>
          <w:b/>
          <w:bCs/>
          <w:color w:val="1a1814"/>
          <w:sz w:val="22"/>
          <w:szCs w:val="22"/>
        </w:rPr>
        <w:t xml:space="preserve">Robert M. Clark</w:t>
      </w:r>
    </w:p>
    <w:p>
      <w:pPr>
        <w:spacing w:after="40" w:line="290"/>
        <w:jc w:val="left"/>
      </w:pPr>
      <w:r>
        <w:rPr>
          <w:rFonts w:ascii="IBM Plex Sans" w:cs="IBM Plex Sans" w:eastAsia="IBM Plex Sans" w:hAnsi="IBM Plex Sans"/>
          <w:b w:val="false"/>
          <w:bCs w:val="false"/>
          <w:color w:val="1a1814"/>
          <w:sz w:val="22"/>
          <w:szCs w:val="22"/>
        </w:rPr>
        <w:t xml:space="preserve">robert@robertmclark.dev</w:t>
      </w:r>
    </w:p>
    <w:p>
      <w:pPr>
        <w:spacing w:after="40" w:line="290"/>
      </w:pPr>
      <w:hyperlink w:history="1" r:id="rIdclpbrpp-2sqyegrr9xa-k">
        <w:r>
          <w:rPr>
            <w:rFonts w:ascii="IBM Plex Sans" w:cs="IBM Plex Sans" w:eastAsia="IBM Plex Sans" w:hAnsi="IBM Plex Sans"/>
            <w:color w:val="2a5e3e"/>
            <w:sz w:val="22"/>
            <w:szCs w:val="22"/>
            <w:u w:val="single"/>
          </w:rPr>
          <w:t xml:space="preserve">robertmclark.dev</w:t>
        </w:r>
      </w:hyperlink>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IBM Plex Sans" w:cs="IBM Plex Sans" w:eastAsia="IBM Plex Sans" w:hAnsi="IBM Plex Sans"/>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bdlsfctdoxptqjcfhlry5" Type="http://schemas.openxmlformats.org/officeDocument/2006/relationships/hyperlink" Target="https://robertmclark.dev" TargetMode="External"/><Relationship Id="rIdjvqgddrlm0wpqxjymtltz" Type="http://schemas.openxmlformats.org/officeDocument/2006/relationships/hyperlink" Target="https://robertmclark.dev/company/tridant.html" TargetMode="External"/><Relationship Id="rIdclpbrpp-2sqyegrr9xa-k" Type="http://schemas.openxmlformats.org/officeDocument/2006/relationships/hyperlink" Target="https://robertmclark.dev" TargetMode="External"/><Relationship Id="rId10"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Cover Letter — Tridant — Supply Chain Planning &amp; Technology Consultant</dc:title>
  <dc:creator>Robert M. Clark</dc:creator>
  <cp:lastModifiedBy>Un-named</cp:lastModifiedBy>
  <cp:revision>1</cp:revision>
  <dcterms:created xsi:type="dcterms:W3CDTF">2026-05-24T21:56:50.890Z</dcterms:created>
  <dcterms:modified xsi:type="dcterms:W3CDTF">2026-05-24T21:56:50.890Z</dcterms:modified>
</cp:coreProperties>
</file>

<file path=docProps/custom.xml><?xml version="1.0" encoding="utf-8"?>
<Properties xmlns="http://schemas.openxmlformats.org/officeDocument/2006/custom-properties" xmlns:vt="http://schemas.openxmlformats.org/officeDocument/2006/docPropsVTypes"/>
</file>