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line="280"/>
      </w:pPr>
      <w:r>
        <w:rPr>
          <w:rFonts w:ascii="IBM Plex Sans" w:cs="IBM Plex Sans" w:eastAsia="IBM Plex Sans" w:hAnsi="IBM Plex Sans"/>
          <w:b/>
          <w:bCs/>
          <w:color w:val="1a1814"/>
          <w:sz w:val="32"/>
          <w:szCs w:val="32"/>
        </w:rPr>
        <w:t xml:space="preserve">Robert M. Clark</w:t>
      </w:r>
    </w:p>
    <w:p>
      <w:pPr>
        <w:spacing w:after="40" w:line="280"/>
      </w:pPr>
      <w:hyperlink w:history="1" r:id="rId4c6asdqwsvidmsfc5kzsg">
        <w:r>
          <w:rPr>
            <w:rFonts w:ascii="IBM Plex Sans" w:cs="IBM Plex Sans" w:eastAsia="IBM Plex Sans" w:hAnsi="IBM Plex Sans"/>
            <w:color w:val="2a5e3e"/>
            <w:sz w:val="22"/>
            <w:szCs w:val="22"/>
            <w:u w:val="single"/>
          </w:rPr>
          <w:t xml:space="preserve">robertmclark.dev</w:t>
        </w:r>
      </w:hyperlink>
    </w:p>
    <w:p>
      <w:pPr>
        <w:spacing w:after="40" w:line="280"/>
      </w:pPr>
      <w:r>
        <w:rPr>
          <w:rFonts w:ascii="IBM Plex Sans" w:cs="IBM Plex Sans" w:eastAsia="IBM Plex Sans" w:hAnsi="IBM Plex Sans"/>
          <w:b w:val="false"/>
          <w:bCs w:val="false"/>
          <w:color w:val="4d4843"/>
          <w:sz w:val="22"/>
          <w:szCs w:val="22"/>
        </w:rPr>
        <w:t xml:space="preserve">robert@robertmclark.dev</w:t>
      </w:r>
    </w:p>
    <w:p>
      <w:pPr>
        <w:pBdr>
          <w:bottom w:val="single" w:color="4e7a5e" w:sz="6" w:space="6"/>
        </w:pBdr>
        <w:spacing w:after="280" w:line="280"/>
      </w:pPr>
      <w:r>
        <w:rPr>
          <w:rFonts w:ascii="IBM Plex Sans" w:cs="IBM Plex Sans" w:eastAsia="IBM Plex Sans" w:hAnsi="IBM Plex Sans"/>
          <w:b w:val="false"/>
          <w:bCs w:val="false"/>
          <w:color w:val="4d4843"/>
          <w:sz w:val="22"/>
          <w:szCs w:val="22"/>
        </w:rPr>
        <w:t xml:space="preserve">Warrnambool, VIC</w:t>
      </w:r>
    </w:p>
    <w:p>
      <w:pPr>
        <w:spacing w:after="240" w:line="290"/>
      </w:pPr>
      <w:r>
        <w:rPr>
          <w:rFonts w:ascii="IBM Plex Sans" w:cs="IBM Plex Sans" w:eastAsia="IBM Plex Sans" w:hAnsi="IBM Plex Sans"/>
          <w:b w:val="false"/>
          <w:bCs w:val="false"/>
          <w:color w:val="4d4843"/>
          <w:sz w:val="22"/>
          <w:szCs w:val="22"/>
        </w:rPr>
        <w:t xml:space="preserve">28 June 2026</w:t>
      </w:r>
    </w:p>
    <w:p>
      <w:pPr>
        <w:spacing w:after="20" w:line="290"/>
      </w:pPr>
      <w:r>
        <w:rPr>
          <w:rFonts w:ascii="IBM Plex Sans" w:cs="IBM Plex Sans" w:eastAsia="IBM Plex Sans" w:hAnsi="IBM Plex Sans"/>
          <w:b w:val="false"/>
          <w:bCs w:val="false"/>
          <w:color w:val="4d4843"/>
          <w:sz w:val="22"/>
          <w:szCs w:val="22"/>
        </w:rPr>
        <w:t xml:space="preserve">Tim Beilby</w:t>
      </w:r>
    </w:p>
    <w:p>
      <w:pPr>
        <w:spacing w:after="20" w:line="290"/>
      </w:pPr>
      <w:r>
        <w:rPr>
          <w:rFonts w:ascii="IBM Plex Sans" w:cs="IBM Plex Sans" w:eastAsia="IBM Plex Sans" w:hAnsi="IBM Plex Sans"/>
          <w:b w:val="false"/>
          <w:bCs w:val="false"/>
          <w:color w:val="4d4843"/>
          <w:sz w:val="22"/>
          <w:szCs w:val="22"/>
        </w:rPr>
        <w:t xml:space="preserve">Manager, Data, Integration &amp; Analytics</w:t>
      </w:r>
    </w:p>
    <w:p>
      <w:pPr>
        <w:spacing w:after="20" w:line="290"/>
      </w:pPr>
      <w:r>
        <w:rPr>
          <w:rFonts w:ascii="IBM Plex Sans" w:cs="IBM Plex Sans" w:eastAsia="IBM Plex Sans" w:hAnsi="IBM Plex Sans"/>
          <w:b w:val="false"/>
          <w:bCs w:val="false"/>
          <w:color w:val="4d4843"/>
          <w:sz w:val="22"/>
          <w:szCs w:val="22"/>
        </w:rPr>
        <w:t xml:space="preserve">Wannon Region Water Corporation</w:t>
      </w:r>
    </w:p>
    <w:p>
      <w:pPr>
        <w:spacing w:after="240" w:line="290"/>
      </w:pPr>
      <w:r>
        <w:rPr>
          <w:rFonts w:ascii="IBM Plex Sans" w:cs="IBM Plex Sans" w:eastAsia="IBM Plex Sans" w:hAnsi="IBM Plex Sans"/>
          <w:b w:val="false"/>
          <w:bCs w:val="false"/>
          <w:color w:val="4d4843"/>
          <w:sz w:val="22"/>
          <w:szCs w:val="22"/>
        </w:rPr>
        <w:t xml:space="preserve">Warrnambool, VIC</w:t>
      </w:r>
    </w:p>
    <w:p>
      <w:pPr>
        <w:spacing w:after="240" w:line="290"/>
      </w:pPr>
      <w:r>
        <w:rPr>
          <w:rFonts w:ascii="IBM Plex Sans" w:cs="IBM Plex Sans" w:eastAsia="IBM Plex Sans" w:hAnsi="IBM Plex Sans"/>
          <w:b/>
          <w:bCs/>
          <w:color w:val="1a1814"/>
          <w:sz w:val="22"/>
          <w:szCs w:val="22"/>
        </w:rPr>
        <w:t xml:space="preserve">Re: </w:t>
      </w:r>
      <w:r>
        <w:rPr>
          <w:rFonts w:ascii="IBM Plex Sans" w:cs="IBM Plex Sans" w:eastAsia="IBM Plex Sans" w:hAnsi="IBM Plex Sans"/>
          <w:b/>
          <w:bCs/>
          <w:color w:val="1a1814"/>
          <w:sz w:val="22"/>
          <w:szCs w:val="22"/>
        </w:rPr>
        <w:t xml:space="preserve">Data &amp; Analytics Officer</w:t>
      </w:r>
    </w:p>
    <w:p>
      <w:pPr>
        <w:spacing w:after="200" w:line="290"/>
        <w:jc w:val="left"/>
      </w:pPr>
      <w:r>
        <w:rPr>
          <w:rFonts w:ascii="IBM Plex Sans" w:cs="IBM Plex Sans" w:eastAsia="IBM Plex Sans" w:hAnsi="IBM Plex Sans"/>
          <w:b w:val="false"/>
          <w:bCs w:val="false"/>
          <w:color w:val="2a2620"/>
          <w:sz w:val="22"/>
          <w:szCs w:val="22"/>
        </w:rPr>
        <w:t xml:space="preserve">Dear Tim Beilby,</w:t>
      </w:r>
    </w:p>
    <w:p>
      <w:pPr>
        <w:spacing w:after="200" w:line="290"/>
        <w:jc w:val="left"/>
      </w:pPr>
      <w:r>
        <w:rPr>
          <w:rFonts w:ascii="IBM Plex Sans" w:cs="IBM Plex Sans" w:eastAsia="IBM Plex Sans" w:hAnsi="IBM Plex Sans"/>
          <w:b w:val="false"/>
          <w:bCs w:val="false"/>
          <w:color w:val="2a2620"/>
          <w:sz w:val="22"/>
          <w:szCs w:val="22"/>
        </w:rPr>
        <w:t xml:space="preserve">I’m writing to apply for the Data &amp; Analytics Officer position. I’m a business systems builder based in Warrnambool, and across my career the through-line has been consistent: build the data infrastructure a business depends on, then turn it into planning and reporting people rely on to make decisions. That is the core of this role.</w:t>
      </w:r>
    </w:p>
    <w:p>
      <w:pPr>
        <w:spacing w:after="200" w:line="290"/>
        <w:jc w:val="left"/>
      </w:pPr>
      <w:r>
        <w:rPr>
          <w:rFonts w:ascii="IBM Plex Sans" w:cs="IBM Plex Sans" w:eastAsia="IBM Plex Sans" w:hAnsi="IBM Plex Sans"/>
          <w:b w:val="false"/>
          <w:bCs w:val="false"/>
          <w:color w:val="2a2620"/>
          <w:sz w:val="22"/>
          <w:szCs w:val="22"/>
        </w:rPr>
        <w:t xml:space="preserve">At </w:t>
      </w:r>
      <w:r>
        <w:rPr>
          <w:rFonts w:ascii="IBM Plex Sans" w:cs="IBM Plex Sans" w:eastAsia="IBM Plex Sans" w:hAnsi="IBM Plex Sans"/>
          <w:b/>
          <w:bCs/>
          <w:color w:val="1a1814"/>
          <w:sz w:val="22"/>
          <w:szCs w:val="22"/>
        </w:rPr>
        <w:t xml:space="preserve">Saputo</w:t>
      </w:r>
      <w:r>
        <w:rPr>
          <w:rFonts w:ascii="IBM Plex Sans" w:cs="IBM Plex Sans" w:eastAsia="IBM Plex Sans" w:hAnsi="IBM Plex Sans"/>
          <w:b w:val="false"/>
          <w:bCs w:val="false"/>
          <w:color w:val="2a2620"/>
          <w:sz w:val="22"/>
          <w:szCs w:val="22"/>
        </w:rPr>
        <w:t xml:space="preserve">, in the bulk ingredients commodity division, I designed and built an inventory pegging and projection toolkit alongside a suite of planning tools integrated into the supply and operations process. The reporting layer, built in </w:t>
      </w:r>
      <w:r>
        <w:rPr>
          <w:rFonts w:ascii="IBM Plex Sans" w:cs="IBM Plex Sans" w:eastAsia="IBM Plex Sans" w:hAnsi="IBM Plex Sans"/>
          <w:b/>
          <w:bCs/>
          <w:color w:val="1a1814"/>
          <w:sz w:val="22"/>
          <w:szCs w:val="22"/>
        </w:rPr>
        <w:t xml:space="preserve">Power BI on enterprise SQL data</w:t>
      </w:r>
      <w:r>
        <w:rPr>
          <w:rFonts w:ascii="IBM Plex Sans" w:cs="IBM Plex Sans" w:eastAsia="IBM Plex Sans" w:hAnsi="IBM Plex Sans"/>
          <w:b w:val="false"/>
          <w:bCs w:val="false"/>
          <w:color w:val="2a2620"/>
          <w:sz w:val="22"/>
          <w:szCs w:val="22"/>
        </w:rPr>
        <w:t xml:space="preserve">, covers delivery performance, inventory breakdown, inventory projection and plan alignment. The work spans the full stack this role calls for — data models, enterprise reporting assets, and the pipelines that feed them — developed and continuously refined as the business’s needs changed.</w:t>
      </w:r>
    </w:p>
    <w:p>
      <w:pPr>
        <w:spacing w:after="200" w:line="290"/>
        <w:jc w:val="left"/>
      </w:pPr>
      <w:r>
        <w:rPr>
          <w:rFonts w:ascii="IBM Plex Sans" w:cs="IBM Plex Sans" w:eastAsia="IBM Plex Sans" w:hAnsi="IBM Plex Sans"/>
          <w:b w:val="false"/>
          <w:bCs w:val="false"/>
          <w:color w:val="2a2620"/>
          <w:sz w:val="22"/>
          <w:szCs w:val="22"/>
        </w:rPr>
        <w:t xml:space="preserve">This stacks on earlier work. At </w:t>
      </w:r>
      <w:r>
        <w:rPr>
          <w:rFonts w:ascii="IBM Plex Sans" w:cs="IBM Plex Sans" w:eastAsia="IBM Plex Sans" w:hAnsi="IBM Plex Sans"/>
          <w:b/>
          <w:bCs/>
          <w:color w:val="1a1814"/>
          <w:sz w:val="22"/>
          <w:szCs w:val="22"/>
        </w:rPr>
        <w:t xml:space="preserve">Pacific Brands Workwear Group</w:t>
      </w:r>
      <w:r>
        <w:rPr>
          <w:rFonts w:ascii="IBM Plex Sans" w:cs="IBM Plex Sans" w:eastAsia="IBM Plex Sans" w:hAnsi="IBM Plex Sans"/>
          <w:b w:val="false"/>
          <w:bCs w:val="false"/>
          <w:color w:val="2a2620"/>
          <w:sz w:val="22"/>
          <w:szCs w:val="22"/>
        </w:rPr>
        <w:t xml:space="preserve"> I built and ran a centralised engine that harvested data from six separate ERP systems, generated division-level dashboards and drove the group’s sales and operations planning, across multiple sites and three divisions with a cross-functional team. Pulling disparate enterprise sources into one governed, automated reporting and planning capability is the same problem </w:t>
      </w:r>
      <w:r>
        <w:rPr>
          <w:rFonts w:ascii="IBM Plex Sans" w:cs="IBM Plex Sans" w:eastAsia="IBM Plex Sans" w:hAnsi="IBM Plex Sans"/>
          <w:b/>
          <w:bCs/>
          <w:color w:val="1a1814"/>
          <w:sz w:val="22"/>
          <w:szCs w:val="22"/>
        </w:rPr>
        <w:t xml:space="preserve">Azure Data Factory, SQL and Power BI</w:t>
      </w:r>
      <w:r>
        <w:rPr>
          <w:rFonts w:ascii="IBM Plex Sans" w:cs="IBM Plex Sans" w:eastAsia="IBM Plex Sans" w:hAnsi="IBM Plex Sans"/>
          <w:b w:val="false"/>
          <w:bCs w:val="false"/>
          <w:color w:val="2a2620"/>
          <w:sz w:val="22"/>
          <w:szCs w:val="22"/>
        </w:rPr>
        <w:t xml:space="preserve"> solve here — and I have built it at group scale.</w:t>
      </w:r>
    </w:p>
    <w:p>
      <w:pPr>
        <w:spacing w:after="200" w:line="290"/>
        <w:jc w:val="left"/>
      </w:pPr>
      <w:r>
        <w:rPr>
          <w:rFonts w:ascii="IBM Plex Sans" w:cs="IBM Plex Sans" w:eastAsia="IBM Plex Sans" w:hAnsi="IBM Plex Sans"/>
          <w:b w:val="false"/>
          <w:bCs w:val="false"/>
          <w:color w:val="2a2620"/>
          <w:sz w:val="22"/>
          <w:szCs w:val="22"/>
        </w:rPr>
        <w:t xml:space="preserve">What I bring beyond the tooling is the ability to sit between the data and the decision. In every business I’ve worked in I’ve been the person who understands where the data lives, how it connects, and how to turn it into something a planner or a manager can act on — and the person other departments come to when a problem needs the data found, understood and applied. Building the assets and applying them to the specific problem in front of the business is what turns a reporting platform into one the organisation relies on.</w:t>
      </w:r>
    </w:p>
    <w:p>
      <w:pPr>
        <w:spacing w:after="200" w:line="290"/>
        <w:jc w:val="left"/>
      </w:pPr>
      <w:r>
        <w:rPr>
          <w:rFonts w:ascii="IBM Plex Sans" w:cs="IBM Plex Sans" w:eastAsia="IBM Plex Sans" w:hAnsi="IBM Plex Sans"/>
          <w:b w:val="false"/>
          <w:bCs w:val="false"/>
          <w:color w:val="2a2620"/>
          <w:sz w:val="22"/>
          <w:szCs w:val="22"/>
        </w:rPr>
        <w:t xml:space="preserve">I build data assets to be governed and reusable from the outset, which is what lets them carry into automation, AI and future analytics rather than being rebuilt each time. I’m based in Warrnambool and committed to the region, and I’d welcome the chance to discuss how I can contribute to Wannon Water’s data and analytics capability.</w:t>
      </w:r>
    </w:p>
    <w:p>
      <w:pPr>
        <w:spacing w:after="200" w:line="290"/>
        <w:jc w:val="left"/>
      </w:pPr>
      <w:r>
        <w:rPr>
          <w:rFonts w:ascii="IBM Plex Sans" w:cs="IBM Plex Sans" w:eastAsia="IBM Plex Sans" w:hAnsi="IBM Plex Sans"/>
          <w:b w:val="false"/>
          <w:bCs w:val="false"/>
          <w:color w:val="2a2620"/>
          <w:sz w:val="22"/>
          <w:szCs w:val="22"/>
        </w:rPr>
        <w:t xml:space="preserve">Thank you for considering my application.</w:t>
      </w:r>
    </w:p>
    <w:p>
      <w:pPr>
        <w:spacing w:after="40" w:line="280"/>
      </w:pPr>
      <w:r>
        <w:rPr>
          <w:rFonts w:ascii="IBM Plex Sans" w:cs="IBM Plex Sans" w:eastAsia="IBM Plex Sans" w:hAnsi="IBM Plex Sans"/>
          <w:b w:val="false"/>
          <w:bCs w:val="false"/>
          <w:color w:val="4d4843"/>
          <w:sz w:val="22"/>
          <w:szCs w:val="22"/>
        </w:rPr>
        <w:t xml:space="preserve">Yours sincerely,</w:t>
      </w:r>
    </w:p>
    <w:p>
      <w:pPr>
        <w:spacing w:after="40" w:line="280"/>
      </w:pPr>
      <w:r>
        <w:rPr>
          <w:rFonts w:ascii="IBM Plex Sans" w:cs="IBM Plex Sans" w:eastAsia="IBM Plex Sans" w:hAnsi="IBM Plex Sans"/>
          <w:b/>
          <w:bCs/>
          <w:color w:val="1a1814"/>
          <w:sz w:val="22"/>
          <w:szCs w:val="22"/>
        </w:rPr>
        <w:t xml:space="preserve">Robert M. Clark</w:t>
      </w:r>
    </w:p>
    <w:p>
      <w:pPr>
        <w:spacing w:after="20" w:line="280"/>
      </w:pPr>
      <w:r>
        <w:rPr>
          <w:rFonts w:ascii="IBM Plex Sans" w:cs="IBM Plex Sans" w:eastAsia="IBM Plex Sans" w:hAnsi="IBM Plex Sans"/>
          <w:b w:val="false"/>
          <w:bCs w:val="false"/>
          <w:color w:val="4d4843"/>
          <w:sz w:val="22"/>
          <w:szCs w:val="22"/>
        </w:rPr>
        <w:t xml:space="preserve">robert@robertmclark.dev</w:t>
      </w:r>
    </w:p>
    <w:p>
      <w:pPr>
        <w:spacing w:after="40" w:line="280"/>
      </w:pPr>
      <w:hyperlink w:history="1" r:id="rIdk47njjbk-o_038jspypj8">
        <w:r>
          <w:rPr>
            <w:rFonts w:ascii="IBM Plex Sans" w:cs="IBM Plex Sans" w:eastAsia="IBM Plex Sans" w:hAnsi="IBM Plex Sans"/>
            <w:color w:val="2a5e3e"/>
            <w:sz w:val="22"/>
            <w:szCs w:val="22"/>
            <w:u w:val="single"/>
          </w:rPr>
          <w:t xml:space="preserve">robertmclark.dev</w:t>
        </w:r>
      </w:hyperlink>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IBM Plex Sans" w:cs="IBM Plex Sans" w:eastAsia="IBM Plex Sans" w:hAnsi="IBM Plex Sans"/>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4c6asdqwsvidmsfc5kzsg" Type="http://schemas.openxmlformats.org/officeDocument/2006/relationships/hyperlink" Target="https://robertmclark.dev/company/wannon-water.html" TargetMode="External"/><Relationship Id="rIdk47njjbk-o_038jspypj8" Type="http://schemas.openxmlformats.org/officeDocument/2006/relationships/hyperlink" Target="https://robertmclark.dev/company/wannon-water.html" TargetMode="Externa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2026-06-29T02:41:40.002Z</dcterms:created>
  <dcterms:modified xsi:type="dcterms:W3CDTF">2026-06-29T02:41:40.002Z</dcterms:modified>
</cp:coreProperties>
</file>

<file path=docProps/custom.xml><?xml version="1.0" encoding="utf-8"?>
<Properties xmlns="http://schemas.openxmlformats.org/officeDocument/2006/custom-properties" xmlns:vt="http://schemas.openxmlformats.org/officeDocument/2006/docPropsVTypes"/>
</file>